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2EB7C5" w14:textId="5FC0ADAE" w:rsidR="001A59F7" w:rsidRPr="001A59F7" w:rsidRDefault="008E35B6" w:rsidP="00A53200">
      <w:pPr>
        <w:pStyle w:val="Heading7"/>
        <w:spacing w:before="240" w:after="240" w:line="240" w:lineRule="auto"/>
        <w:rPr>
          <w:sz w:val="28"/>
          <w:szCs w:val="28"/>
          <w:lang w:val="fr-FR"/>
        </w:rPr>
      </w:pPr>
      <w:bookmarkStart w:id="0" w:name="OLE_LINK1"/>
      <w:bookmarkStart w:id="1" w:name="OLE_LINK2"/>
      <w:r>
        <w:rPr>
          <w:sz w:val="28"/>
          <w:szCs w:val="28"/>
          <w:lang w:val="fr-FR"/>
        </w:rPr>
        <w:t>PIC13/S4/4/Info</w:t>
      </w:r>
      <w:r>
        <w:rPr>
          <w:sz w:val="28"/>
          <w:szCs w:val="28"/>
          <w:lang w:val="fr-FR"/>
        </w:rPr>
        <w:br/>
      </w:r>
      <w:r w:rsidR="001A59F7" w:rsidRPr="001A59F7">
        <w:rPr>
          <w:sz w:val="28"/>
          <w:szCs w:val="28"/>
          <w:lang w:val="fr-FR"/>
        </w:rPr>
        <w:t>Lutte contre le cancer : un défi de taille pour les petits États insulaires océaniens</w:t>
      </w:r>
    </w:p>
    <w:p w14:paraId="024CC222" w14:textId="77777777" w:rsidR="001A59F7" w:rsidRPr="001A59F7" w:rsidRDefault="001A59F7" w:rsidP="00A53200">
      <w:pPr>
        <w:pStyle w:val="Heading7"/>
        <w:spacing w:before="240" w:after="240" w:line="240" w:lineRule="auto"/>
        <w:rPr>
          <w:sz w:val="28"/>
          <w:szCs w:val="28"/>
          <w:lang w:val="fr-FR"/>
        </w:rPr>
      </w:pPr>
      <w:r w:rsidRPr="001A59F7">
        <w:rPr>
          <w:sz w:val="28"/>
          <w:szCs w:val="28"/>
          <w:lang w:val="fr-FR"/>
        </w:rPr>
        <w:t>Synthèse destinée aux ministres océaniens de la Santé à l’occasion de leur réunion 2019</w:t>
      </w:r>
    </w:p>
    <w:p w14:paraId="50C9F221" w14:textId="77777777" w:rsidR="00A53200" w:rsidRPr="00A53200" w:rsidRDefault="00A53200" w:rsidP="00B25D91">
      <w:pPr>
        <w:pStyle w:val="NoSpacing"/>
        <w:pBdr>
          <w:top w:val="single" w:sz="4" w:space="1" w:color="auto"/>
          <w:left w:val="single" w:sz="4" w:space="4" w:color="auto"/>
          <w:bottom w:val="single" w:sz="4" w:space="1" w:color="auto"/>
          <w:right w:val="single" w:sz="4" w:space="4" w:color="auto"/>
        </w:pBdr>
        <w:spacing w:before="120" w:after="120" w:line="360" w:lineRule="auto"/>
        <w:rPr>
          <w:rFonts w:ascii="Times New Roman" w:hAnsi="Times New Roman" w:cs="Times New Roman"/>
          <w:b/>
          <w:lang w:val="fr-FR"/>
        </w:rPr>
      </w:pPr>
      <w:r w:rsidRPr="00A53200">
        <w:rPr>
          <w:rFonts w:ascii="Times New Roman" w:hAnsi="Times New Roman" w:cs="Times New Roman"/>
          <w:b/>
          <w:lang w:val="fr-FR"/>
        </w:rPr>
        <w:t>Introduction</w:t>
      </w:r>
    </w:p>
    <w:p w14:paraId="6E5AB719" w14:textId="77777777" w:rsidR="00A53200" w:rsidRPr="00A53200" w:rsidRDefault="00A53200" w:rsidP="00B25D91">
      <w:pPr>
        <w:pStyle w:val="NoSpacing"/>
        <w:pBdr>
          <w:top w:val="single" w:sz="4" w:space="1" w:color="auto"/>
          <w:left w:val="single" w:sz="4" w:space="4" w:color="auto"/>
          <w:bottom w:val="single" w:sz="4" w:space="1" w:color="auto"/>
          <w:right w:val="single" w:sz="4" w:space="4" w:color="auto"/>
        </w:pBdr>
        <w:spacing w:before="120" w:after="120" w:line="360" w:lineRule="auto"/>
        <w:rPr>
          <w:rFonts w:ascii="Times New Roman" w:hAnsi="Times New Roman" w:cs="Times New Roman"/>
          <w:lang w:val="fr-FR"/>
        </w:rPr>
      </w:pPr>
      <w:r w:rsidRPr="00A53200">
        <w:rPr>
          <w:rFonts w:ascii="Times New Roman" w:hAnsi="Times New Roman" w:cs="Times New Roman"/>
          <w:lang w:val="fr-FR"/>
        </w:rPr>
        <w:t xml:space="preserve">Cette synthèse est tirée d’une série de cinq rapports réalisés à la demande de la revue The Lancet </w:t>
      </w:r>
      <w:proofErr w:type="spellStart"/>
      <w:r w:rsidRPr="00A53200">
        <w:rPr>
          <w:rFonts w:ascii="Times New Roman" w:hAnsi="Times New Roman" w:cs="Times New Roman"/>
          <w:lang w:val="fr-FR"/>
        </w:rPr>
        <w:t>Oncology</w:t>
      </w:r>
      <w:proofErr w:type="spellEnd"/>
      <w:r w:rsidRPr="00A53200">
        <w:rPr>
          <w:rFonts w:ascii="Times New Roman" w:hAnsi="Times New Roman" w:cs="Times New Roman"/>
          <w:lang w:val="fr-FR"/>
        </w:rPr>
        <w:t xml:space="preserve"> sur la lutte contre le cancer dans les petits États insulaires en développement, à paraître en août 2019. Deux de ces rapports portent exclusivement sur la région Pacifique. Soixante-cinq collaborateurs, provenant de pays de la région ou du reste du monde, ont participé à la réalisation de cette série. Ce résumé expose les principaux enjeux et recommandations quant aux priorités à adopter en matière de lutte contre le cancer en Océanie.</w:t>
      </w:r>
    </w:p>
    <w:p w14:paraId="1323DC8C" w14:textId="77777777" w:rsidR="00A53200" w:rsidRPr="00A53200" w:rsidRDefault="00A53200" w:rsidP="00B25D91">
      <w:pPr>
        <w:pStyle w:val="NoSpacing"/>
        <w:pBdr>
          <w:top w:val="single" w:sz="4" w:space="1" w:color="auto"/>
          <w:left w:val="single" w:sz="4" w:space="4" w:color="auto"/>
          <w:bottom w:val="single" w:sz="4" w:space="1" w:color="auto"/>
          <w:right w:val="single" w:sz="4" w:space="4" w:color="auto"/>
        </w:pBdr>
        <w:spacing w:before="120" w:after="120" w:line="360" w:lineRule="auto"/>
        <w:rPr>
          <w:rFonts w:ascii="Times New Roman" w:hAnsi="Times New Roman" w:cs="Times New Roman"/>
          <w:b/>
          <w:lang w:val="fr-FR"/>
        </w:rPr>
      </w:pPr>
      <w:r w:rsidRPr="00A53200">
        <w:rPr>
          <w:rFonts w:ascii="Times New Roman" w:hAnsi="Times New Roman" w:cs="Times New Roman"/>
          <w:b/>
          <w:lang w:val="fr-FR"/>
        </w:rPr>
        <w:t>Contexte</w:t>
      </w:r>
    </w:p>
    <w:p w14:paraId="61D09C0F" w14:textId="77777777" w:rsidR="00A53200" w:rsidRDefault="00A53200" w:rsidP="00B25D91">
      <w:pPr>
        <w:pStyle w:val="NoSpacing"/>
        <w:pBdr>
          <w:top w:val="single" w:sz="4" w:space="1" w:color="auto"/>
          <w:left w:val="single" w:sz="4" w:space="4" w:color="auto"/>
          <w:bottom w:val="single" w:sz="4" w:space="1" w:color="auto"/>
          <w:right w:val="single" w:sz="4" w:space="4" w:color="auto"/>
        </w:pBdr>
        <w:spacing w:before="120" w:after="120" w:line="360" w:lineRule="auto"/>
        <w:rPr>
          <w:rFonts w:ascii="Times New Roman" w:hAnsi="Times New Roman" w:cs="Times New Roman"/>
          <w:lang w:val="fr-FR"/>
        </w:rPr>
      </w:pPr>
      <w:r w:rsidRPr="00A53200">
        <w:rPr>
          <w:rFonts w:ascii="Times New Roman" w:hAnsi="Times New Roman" w:cs="Times New Roman"/>
          <w:lang w:val="fr-FR"/>
        </w:rPr>
        <w:t>Si les pays océaniens sont différents à bien des égards, ils partagent néanmoins des défis communs, tels que des ressources limitées, de faibles populations isolées et dispersées, des systèmes économiques et écologiques fragiles ainsi que des services de santé saturés. Cancers liés aux infections, vieillissement de la population et évolution rapide vers des maladies liées au mode de vie : confrontés à ce triple fardeau, les pays océaniens doivent en même temps faire face à des catastrophes naturelles, qui se multiplient sous l’effet du changement climatique.</w:t>
      </w:r>
    </w:p>
    <w:p w14:paraId="1AFFC3F1" w14:textId="77777777" w:rsidR="00A53200" w:rsidRDefault="00A53200" w:rsidP="00B25D91">
      <w:pPr>
        <w:pStyle w:val="NoSpacing"/>
        <w:pBdr>
          <w:top w:val="single" w:sz="4" w:space="1" w:color="auto"/>
          <w:left w:val="single" w:sz="4" w:space="4" w:color="auto"/>
          <w:bottom w:val="single" w:sz="4" w:space="1" w:color="auto"/>
          <w:right w:val="single" w:sz="4" w:space="4" w:color="auto"/>
        </w:pBdr>
        <w:spacing w:before="120" w:after="120" w:line="360" w:lineRule="auto"/>
        <w:rPr>
          <w:rFonts w:ascii="Times New Roman" w:hAnsi="Times New Roman" w:cs="Times New Roman"/>
          <w:lang w:val="fr-FR"/>
        </w:rPr>
      </w:pPr>
      <w:r w:rsidRPr="00A53200">
        <w:rPr>
          <w:rFonts w:ascii="Times New Roman" w:hAnsi="Times New Roman" w:cs="Times New Roman"/>
          <w:lang w:val="fr-FR"/>
        </w:rPr>
        <w:t xml:space="preserve">Le cancer est un problème grandissant en Océanie. Selon le Centre international de recherche sur le cancer, le nombre de nouveaux cas doublera dans la région d’ici 2040. Actuellement, très peu de pays océaniens disposent d’un plan cancer complet, les systèmes de surveillance des cancers sont peu efficaces et les patients consultent souvent à un stade avancé de la maladie. Dans de nombreux pays océaniens, les soins palliatifs ne sont pas suffisamment développés et il est difficile, voire impossible, d’offrir des services complets aux personnes atteintes de cancer. Malgré l’insuffisance des programmes de dépistage ainsi que des services de soins palliatifs, de pathologie, d’oncologie et/ou de chirurgie dans nombre de pays océaniens, on observe néanmoins, dans certains pays et régions du Pacifique, de nouvelles pratiques innovantes en matière de traitement, de prévention et de planification de la lutte contre le cancer. </w:t>
      </w:r>
    </w:p>
    <w:p w14:paraId="3B87B8B7" w14:textId="77777777" w:rsidR="00A53200" w:rsidRDefault="00A53200" w:rsidP="00B25D91">
      <w:pPr>
        <w:pStyle w:val="NoSpacing"/>
        <w:pBdr>
          <w:top w:val="single" w:sz="4" w:space="1" w:color="auto"/>
          <w:left w:val="single" w:sz="4" w:space="4" w:color="auto"/>
          <w:bottom w:val="single" w:sz="4" w:space="1" w:color="auto"/>
          <w:right w:val="single" w:sz="4" w:space="4" w:color="auto"/>
        </w:pBdr>
        <w:spacing w:before="120" w:after="120" w:line="360" w:lineRule="auto"/>
        <w:rPr>
          <w:rFonts w:ascii="Times New Roman" w:hAnsi="Times New Roman" w:cs="Times New Roman"/>
          <w:lang w:val="fr-FR"/>
        </w:rPr>
      </w:pPr>
      <w:r w:rsidRPr="00A53200">
        <w:rPr>
          <w:rFonts w:ascii="Times New Roman" w:hAnsi="Times New Roman" w:cs="Times New Roman"/>
          <w:lang w:val="fr-FR"/>
        </w:rPr>
        <w:lastRenderedPageBreak/>
        <w:t xml:space="preserve">Le cancer peut être perçu comme un problème complexe et onéreux, qui vient s’ajouter à d’autres besoins en santé publique. Pourtant, de nombreuses solutions peuvent être envisagées et mises en œuvre afin de réduire le nombre de morts prématurées et de personnes atteintes du cancer, même en cas de ressources limitées. Il s’agit d’interventions d’un bon rapport coût/efficacité, qui ne nécessitent pas les services d’un spécialiste ni d’infrastructures particulières, et qui sont habituellement effectuées dans des centres de soins de santé primaires et communautaires. </w:t>
      </w:r>
    </w:p>
    <w:bookmarkEnd w:id="0"/>
    <w:bookmarkEnd w:id="1"/>
    <w:p w14:paraId="75AF3188" w14:textId="77777777" w:rsidR="008D65CB" w:rsidRPr="008D65CB" w:rsidRDefault="008D65CB" w:rsidP="008D65CB">
      <w:pPr>
        <w:rPr>
          <w:rFonts w:ascii="Times New Roman" w:eastAsiaTheme="minorHAnsi" w:hAnsi="Times New Roman" w:cs="Times New Roman"/>
          <w:b/>
          <w:bCs/>
          <w:lang w:val="fr-FR" w:eastAsia="en-US"/>
        </w:rPr>
      </w:pPr>
      <w:r w:rsidRPr="008D65CB">
        <w:rPr>
          <w:rFonts w:ascii="Times New Roman" w:eastAsiaTheme="minorHAnsi" w:hAnsi="Times New Roman" w:cs="Times New Roman"/>
          <w:b/>
          <w:bCs/>
          <w:lang w:val="fr-FR" w:eastAsia="en-US"/>
        </w:rPr>
        <w:t>Voici les six recommandations à adopter pour mener des actions prioritaires de lutte contre le cancer en Océanie et relever les défis dans ce domaine.</w:t>
      </w:r>
    </w:p>
    <w:p w14:paraId="5D0C2C5C" w14:textId="77777777" w:rsidR="008D65CB" w:rsidRDefault="008D65CB" w:rsidP="008D65CB">
      <w:pPr>
        <w:numPr>
          <w:ilvl w:val="0"/>
          <w:numId w:val="48"/>
        </w:numPr>
        <w:spacing w:after="160" w:line="259" w:lineRule="auto"/>
        <w:ind w:left="720"/>
        <w:contextualSpacing/>
        <w:rPr>
          <w:rFonts w:ascii="Times New Roman" w:eastAsiaTheme="minorHAnsi" w:hAnsi="Times New Roman" w:cs="Times New Roman"/>
          <w:lang w:val="fr-FR" w:eastAsia="en-US"/>
        </w:rPr>
      </w:pPr>
      <w:r w:rsidRPr="008D65CB">
        <w:rPr>
          <w:rFonts w:ascii="Times New Roman" w:eastAsiaTheme="minorHAnsi" w:hAnsi="Times New Roman" w:cs="Times New Roman"/>
          <w:b/>
          <w:lang w:val="fr-FR" w:eastAsia="en-US"/>
        </w:rPr>
        <w:t>Adopter une approche collaborative au niveau régional en matière de lutte contre le cancer.</w:t>
      </w:r>
      <w:r w:rsidRPr="008D65CB">
        <w:rPr>
          <w:rFonts w:ascii="Times New Roman" w:eastAsiaTheme="minorHAnsi" w:hAnsi="Times New Roman" w:cs="Times New Roman"/>
          <w:lang w:val="fr-FR" w:eastAsia="en-US"/>
        </w:rPr>
        <w:t xml:space="preserve"> Dans un contexte de ressources limitées, et plus particulièrement de ressources humaines comme dans les pays faiblement peuplés, le partage de connaissances, d’expériences et de ressources pourrait bien devenir une condition </w:t>
      </w:r>
      <w:r w:rsidRPr="008D65CB">
        <w:rPr>
          <w:rFonts w:ascii="Times New Roman" w:eastAsiaTheme="minorHAnsi" w:hAnsi="Times New Roman" w:cs="Times New Roman"/>
          <w:i/>
          <w:iCs/>
          <w:lang w:val="fr-FR" w:eastAsia="en-US"/>
        </w:rPr>
        <w:t xml:space="preserve">sine qua non </w:t>
      </w:r>
      <w:r w:rsidRPr="008D65CB">
        <w:rPr>
          <w:rFonts w:ascii="Times New Roman" w:eastAsiaTheme="minorHAnsi" w:hAnsi="Times New Roman" w:cs="Times New Roman"/>
          <w:lang w:val="fr-FR" w:eastAsia="en-US"/>
        </w:rPr>
        <w:t>de réussite dans ce domaine. Les relations étroites qui existent au sein des pays océaniens et au-delà sont essentielles à la mise en œuvre des programmes de lutte contre le cancer.</w:t>
      </w:r>
    </w:p>
    <w:p w14:paraId="2B044AE4" w14:textId="77777777" w:rsidR="00697712" w:rsidRPr="008D65CB" w:rsidRDefault="00697712" w:rsidP="00697712">
      <w:pPr>
        <w:spacing w:after="160" w:line="259" w:lineRule="auto"/>
        <w:ind w:left="720"/>
        <w:contextualSpacing/>
        <w:rPr>
          <w:rFonts w:ascii="Times New Roman" w:eastAsiaTheme="minorHAnsi" w:hAnsi="Times New Roman" w:cs="Times New Roman"/>
          <w:lang w:val="fr-FR" w:eastAsia="en-US"/>
        </w:rPr>
      </w:pPr>
    </w:p>
    <w:p w14:paraId="370EAC4D" w14:textId="77777777" w:rsidR="008D65CB" w:rsidRPr="008D65CB" w:rsidRDefault="008D65CB" w:rsidP="008D65CB">
      <w:pPr>
        <w:ind w:left="720"/>
        <w:rPr>
          <w:rFonts w:ascii="Times New Roman" w:eastAsiaTheme="minorHAnsi" w:hAnsi="Times New Roman" w:cs="Times New Roman"/>
          <w:i/>
          <w:lang w:val="fr-FR" w:eastAsia="en-US"/>
        </w:rPr>
      </w:pPr>
      <w:r w:rsidRPr="008D65CB">
        <w:rPr>
          <w:rFonts w:ascii="Times New Roman" w:eastAsiaTheme="minorHAnsi" w:hAnsi="Times New Roman" w:cs="Times New Roman"/>
          <w:i/>
          <w:lang w:val="fr-FR" w:eastAsia="en-US"/>
        </w:rPr>
        <w:t xml:space="preserve">Nous recommandons de réfléchir à des approches collaboratives au niveau régional et </w:t>
      </w:r>
      <w:proofErr w:type="spellStart"/>
      <w:r w:rsidRPr="008D65CB">
        <w:rPr>
          <w:rFonts w:ascii="Times New Roman" w:eastAsiaTheme="minorHAnsi" w:hAnsi="Times New Roman" w:cs="Times New Roman"/>
          <w:i/>
          <w:lang w:val="fr-FR" w:eastAsia="en-US"/>
        </w:rPr>
        <w:t>sous-régional</w:t>
      </w:r>
      <w:proofErr w:type="spellEnd"/>
      <w:r w:rsidRPr="008D65CB">
        <w:rPr>
          <w:rFonts w:ascii="Times New Roman" w:eastAsiaTheme="minorHAnsi" w:hAnsi="Times New Roman" w:cs="Times New Roman"/>
          <w:i/>
          <w:lang w:val="fr-FR" w:eastAsia="en-US"/>
        </w:rPr>
        <w:t xml:space="preserve"> en matière de lutte contre le cancer, incluant des services de planification, de surveillance, de dépistage et de traitement (mise à disposition de médicaments et d’équipements, notamment).</w:t>
      </w:r>
    </w:p>
    <w:p w14:paraId="48F4C882" w14:textId="77777777" w:rsidR="008D65CB" w:rsidRDefault="008D65CB" w:rsidP="008D65CB">
      <w:pPr>
        <w:numPr>
          <w:ilvl w:val="0"/>
          <w:numId w:val="48"/>
        </w:numPr>
        <w:spacing w:after="160" w:line="259" w:lineRule="auto"/>
        <w:ind w:left="720"/>
        <w:contextualSpacing/>
        <w:rPr>
          <w:rFonts w:ascii="Times New Roman" w:eastAsiaTheme="minorHAnsi" w:hAnsi="Times New Roman" w:cs="Times New Roman"/>
          <w:lang w:val="fr-FR" w:eastAsia="en-US"/>
        </w:rPr>
      </w:pPr>
      <w:r w:rsidRPr="008D65CB">
        <w:rPr>
          <w:rFonts w:ascii="Times New Roman" w:eastAsiaTheme="minorHAnsi" w:hAnsi="Times New Roman" w:cs="Times New Roman"/>
          <w:b/>
          <w:lang w:val="fr-FR" w:eastAsia="en-US"/>
        </w:rPr>
        <w:t>Veiller à ce que la lutte contre le cancer fasse partie intégrante des programmes plus vastes de lutte contre les maladies non transmissibles.</w:t>
      </w:r>
      <w:r w:rsidRPr="008D65CB">
        <w:rPr>
          <w:rFonts w:ascii="Times New Roman" w:eastAsiaTheme="minorHAnsi" w:hAnsi="Times New Roman" w:cs="Times New Roman"/>
          <w:lang w:val="fr-FR" w:eastAsia="en-US"/>
        </w:rPr>
        <w:t xml:space="preserve"> Si le renforcement des stratégies de lutte antitabac est une priorité régionale, le taux de tabagisme reste très élevé dans de nombreux pays, en particulier chez les hommes. La priorité doit être donnée à la mise en œuvre de politiques reposant sur des données probantes et prévoyant notamment les mesures suivantes : augmentation des taxes sur le tabac (dont l’élévation des droits d’accise à concurrence de 70 % minimum du prix de détail des cigarettes, conformément à la Feuille de route relative aux MNT</w:t>
      </w:r>
      <w:r w:rsidRPr="00094EF5">
        <w:rPr>
          <w:rFonts w:ascii="Times New Roman" w:eastAsiaTheme="minorHAnsi" w:hAnsi="Times New Roman" w:cs="Times New Roman"/>
          <w:vertAlign w:val="superscript"/>
          <w:lang w:val="fr-FR" w:eastAsia="en-US"/>
        </w:rPr>
        <w:endnoteReference w:id="1"/>
      </w:r>
      <w:r w:rsidRPr="008D65CB">
        <w:rPr>
          <w:rFonts w:ascii="Times New Roman" w:eastAsiaTheme="minorHAnsi" w:hAnsi="Times New Roman" w:cs="Times New Roman"/>
          <w:lang w:val="fr-FR" w:eastAsia="en-US"/>
        </w:rPr>
        <w:t>), création d’environnements non-fumeurs, interdiction de la publicité, de la promotion et du sponsoring de marques de tabac, impression de messages d’avertissement sur les paquets de cigarettes et mise à disposition de services d’aide au sevrage tabagique. L’obésité participe inévitablement à l’expansion de l’épidémie de MNT en Océanie. Les taux de cancers liés à l’obésité sont élevés dans la région et ce fardeau continuera de s’alourdir. Les stratégies à adopter pour enrayer ce problème doivent privilégier des mesures d’un bon rapport coût/efficacité, telles que des taxes et des subventions sur les aliments et les boissons (droits d’accise sur les boissons sucrées</w:t>
      </w:r>
      <w:r w:rsidRPr="008D65CB">
        <w:rPr>
          <w:rFonts w:ascii="Times New Roman" w:eastAsiaTheme="minorHAnsi" w:hAnsi="Times New Roman" w:cs="Times New Roman"/>
          <w:vertAlign w:val="superscript"/>
          <w:lang w:val="fr-FR" w:eastAsia="en-US"/>
        </w:rPr>
        <w:t>1</w:t>
      </w:r>
      <w:r w:rsidRPr="008D65CB">
        <w:rPr>
          <w:rFonts w:ascii="Times New Roman" w:eastAsiaTheme="minorHAnsi" w:hAnsi="Times New Roman" w:cs="Times New Roman"/>
          <w:lang w:val="fr-FR" w:eastAsia="en-US"/>
        </w:rPr>
        <w:t xml:space="preserve"> à concurrence de 20 % du prix de détail, par exemple), des politiques imposant une alimentation saine en milieu scolaire (interdiction des boissons sucrées au profit de boissons et d’aliments sains comme l’eau et les fruits) et la commercialisation limitée d’aliments nocifs pour la santé à destination des enfants. L’Alliance océanienne pour le suivi de la lutte contre les MNT se charge de suivre les progrès accomplis au regard de ces objectifs.</w:t>
      </w:r>
    </w:p>
    <w:p w14:paraId="6FE6DD62" w14:textId="77777777" w:rsidR="009424C6" w:rsidRPr="008D65CB" w:rsidRDefault="009424C6" w:rsidP="009424C6">
      <w:pPr>
        <w:spacing w:after="160" w:line="259" w:lineRule="auto"/>
        <w:ind w:left="720"/>
        <w:contextualSpacing/>
        <w:rPr>
          <w:rFonts w:ascii="Times New Roman" w:eastAsiaTheme="minorHAnsi" w:hAnsi="Times New Roman" w:cs="Times New Roman"/>
          <w:lang w:val="fr-FR" w:eastAsia="en-US"/>
        </w:rPr>
      </w:pPr>
    </w:p>
    <w:p w14:paraId="71BD0874" w14:textId="77777777" w:rsidR="008D65CB" w:rsidRPr="008D65CB" w:rsidRDefault="008D65CB" w:rsidP="008D65CB">
      <w:pPr>
        <w:ind w:left="720"/>
        <w:rPr>
          <w:rFonts w:ascii="Times New Roman" w:eastAsiaTheme="minorHAnsi" w:hAnsi="Times New Roman" w:cs="Times New Roman"/>
          <w:i/>
          <w:lang w:val="fr-FR" w:eastAsia="en-US"/>
        </w:rPr>
      </w:pPr>
      <w:r w:rsidRPr="008D65CB">
        <w:rPr>
          <w:rFonts w:ascii="Times New Roman" w:eastAsiaTheme="minorHAnsi" w:hAnsi="Times New Roman" w:cs="Times New Roman"/>
          <w:i/>
          <w:lang w:val="fr-FR" w:eastAsia="en-US"/>
        </w:rPr>
        <w:t xml:space="preserve">Nous encourageons pleinement la poursuite des actions en faveur des objectifs de la Feuille de route relative aux MNT en Océanie, et plus particulièrement les actions de lutte antitabac et de lutte contre le surpoids. </w:t>
      </w:r>
    </w:p>
    <w:p w14:paraId="7BFA3330" w14:textId="77777777" w:rsidR="008D65CB" w:rsidRPr="008D65CB" w:rsidRDefault="008D65CB" w:rsidP="008D65CB">
      <w:pPr>
        <w:numPr>
          <w:ilvl w:val="0"/>
          <w:numId w:val="48"/>
        </w:numPr>
        <w:spacing w:after="160" w:line="259" w:lineRule="auto"/>
        <w:ind w:left="720"/>
        <w:contextualSpacing/>
        <w:rPr>
          <w:rFonts w:ascii="Times New Roman" w:eastAsiaTheme="minorHAnsi" w:hAnsi="Times New Roman" w:cs="Times New Roman"/>
          <w:lang w:val="fr-FR" w:eastAsia="en-US"/>
        </w:rPr>
      </w:pPr>
      <w:r w:rsidRPr="008D65CB">
        <w:rPr>
          <w:rFonts w:ascii="Times New Roman" w:eastAsiaTheme="minorHAnsi" w:hAnsi="Times New Roman" w:cs="Times New Roman"/>
          <w:b/>
          <w:lang w:val="fr-FR" w:eastAsia="en-US"/>
        </w:rPr>
        <w:t>Renforcer l’offre de soins palliatifs en Océanie.</w:t>
      </w:r>
      <w:r w:rsidRPr="008D65CB">
        <w:rPr>
          <w:rFonts w:ascii="Times New Roman" w:eastAsiaTheme="minorHAnsi" w:hAnsi="Times New Roman" w:cs="Times New Roman"/>
          <w:lang w:val="fr-FR" w:eastAsia="en-US"/>
        </w:rPr>
        <w:t xml:space="preserve"> Il est impératif de renforcer l’offre de soins palliatifs, et notamment de permettre aux patients souffrant de dyspnée ou de douleurs </w:t>
      </w:r>
      <w:r w:rsidRPr="008D65CB">
        <w:rPr>
          <w:rFonts w:ascii="Times New Roman" w:eastAsiaTheme="minorHAnsi" w:hAnsi="Times New Roman" w:cs="Times New Roman"/>
          <w:lang w:val="fr-FR" w:eastAsia="en-US"/>
        </w:rPr>
        <w:lastRenderedPageBreak/>
        <w:t>modérées à sévères de recevoir de la morphine à libération immédiate. Cela nécessitera probablement un examen des éventuels obstacles juridiques et réglementaires, la mise en place de campagnes de sensibilisation, la formation du personnel ainsi que l’élaboration de directives et de plans de prestation de services en matière de soins palliatifs, en collaboration avec le personnel soignant (infirmiers, médecins et pharmaciens), les patients et leur famille, les communautés et les guérisseurs traditionnels, et les ONG. La récente Commission du Lancet sur l’accès aux soins palliatifs est à l’origine d’un dispositif de base en la matière, qui regroupe des équipements, des ressources humaines ainsi que des médicaments essentiels dans le but d’apporter des soins palliatifs de base dans des environnements aux ressources limitées.</w:t>
      </w:r>
    </w:p>
    <w:p w14:paraId="488AAB9A" w14:textId="77777777" w:rsidR="008D65CB" w:rsidRPr="008D65CB" w:rsidRDefault="008D65CB" w:rsidP="008D65CB">
      <w:pPr>
        <w:spacing w:after="160" w:line="259" w:lineRule="auto"/>
        <w:ind w:left="720"/>
        <w:contextualSpacing/>
        <w:rPr>
          <w:rFonts w:ascii="Times New Roman" w:eastAsiaTheme="minorHAnsi" w:hAnsi="Times New Roman" w:cs="Times New Roman"/>
          <w:i/>
          <w:lang w:val="fr-FR" w:eastAsia="en-US"/>
        </w:rPr>
      </w:pPr>
    </w:p>
    <w:p w14:paraId="0AE613D5" w14:textId="77777777" w:rsidR="008D65CB" w:rsidRPr="008D65CB" w:rsidRDefault="008D65CB" w:rsidP="008D65CB">
      <w:pPr>
        <w:ind w:left="720"/>
        <w:rPr>
          <w:rFonts w:ascii="Times New Roman" w:eastAsiaTheme="minorHAnsi" w:hAnsi="Times New Roman" w:cs="Times New Roman"/>
          <w:i/>
          <w:lang w:val="fr-FR" w:eastAsia="en-US"/>
        </w:rPr>
      </w:pPr>
      <w:r w:rsidRPr="008D65CB">
        <w:rPr>
          <w:rFonts w:ascii="Times New Roman" w:eastAsiaTheme="minorHAnsi" w:hAnsi="Times New Roman" w:cs="Times New Roman"/>
          <w:i/>
          <w:lang w:val="fr-FR" w:eastAsia="en-US"/>
        </w:rPr>
        <w:t>Nous recommandons à tous les pays océaniens, d’ici 2030, d’adopter un plan de soins palliatifs ou de faire en sorte que les soins palliatifs soient pleinement intégrés aux plans sanitaires pertinents.</w:t>
      </w:r>
    </w:p>
    <w:p w14:paraId="37938089" w14:textId="77777777" w:rsidR="008D65CB" w:rsidRPr="008D65CB" w:rsidRDefault="008D65CB" w:rsidP="008D65CB">
      <w:pPr>
        <w:numPr>
          <w:ilvl w:val="0"/>
          <w:numId w:val="48"/>
        </w:numPr>
        <w:spacing w:after="160" w:line="259" w:lineRule="auto"/>
        <w:ind w:left="720"/>
        <w:contextualSpacing/>
        <w:rPr>
          <w:rFonts w:ascii="Times New Roman" w:eastAsiaTheme="minorHAnsi" w:hAnsi="Times New Roman" w:cs="Times New Roman"/>
          <w:i/>
          <w:lang w:val="fr-FR" w:eastAsia="en-US"/>
        </w:rPr>
      </w:pPr>
      <w:r w:rsidRPr="008D65CB">
        <w:rPr>
          <w:rFonts w:ascii="Times New Roman" w:eastAsiaTheme="minorHAnsi" w:hAnsi="Times New Roman" w:cs="Times New Roman"/>
          <w:b/>
          <w:lang w:val="fr-FR" w:eastAsia="en-US"/>
        </w:rPr>
        <w:t>Renforcer la vaccination contre les infecti</w:t>
      </w:r>
      <w:bookmarkStart w:id="2" w:name="_GoBack"/>
      <w:bookmarkEnd w:id="2"/>
      <w:r w:rsidRPr="008D65CB">
        <w:rPr>
          <w:rFonts w:ascii="Times New Roman" w:eastAsiaTheme="minorHAnsi" w:hAnsi="Times New Roman" w:cs="Times New Roman"/>
          <w:b/>
          <w:lang w:val="fr-FR" w:eastAsia="en-US"/>
        </w:rPr>
        <w:t>ons à papillomavirus humain et le dépistage du cancer du col de l’utérus</w:t>
      </w:r>
      <w:r w:rsidRPr="008D65CB">
        <w:rPr>
          <w:rFonts w:ascii="Times New Roman" w:eastAsiaTheme="minorHAnsi" w:hAnsi="Times New Roman" w:cs="Times New Roman"/>
          <w:lang w:val="fr-FR" w:eastAsia="en-US"/>
        </w:rPr>
        <w:t xml:space="preserve">. Enjeu majeur dans la région, le cancer du col de l’utérus est la deuxième cause de décès par cancer chez les femmes. En 2014, les responsables océaniens de la santé en ont fait une priorité. Dans sa publication « Meilleurs choix », qui cible les pays à revenu faible ou intermédiaire, l’OMS recommande la vaccination contre le papillomavirus humain (HPV) chez les jeunes filles âgées de 9 à 13 ans et le dépistage chez les femmes âgées de 30 à 49 ans dans le cadre de la prévention du cancer du col de l’utérus et de la lutte contre cette maladie </w:t>
      </w:r>
      <w:r w:rsidRPr="008D65CB">
        <w:rPr>
          <w:rFonts w:ascii="Times New Roman" w:eastAsiaTheme="minorHAnsi" w:hAnsi="Times New Roman" w:cs="Times New Roman"/>
          <w:vertAlign w:val="superscript"/>
          <w:lang w:val="fr-FR" w:eastAsia="en-US"/>
        </w:rPr>
        <w:t>2</w:t>
      </w:r>
      <w:r w:rsidRPr="008D65CB">
        <w:rPr>
          <w:rFonts w:ascii="Times New Roman" w:eastAsiaTheme="minorHAnsi" w:hAnsi="Times New Roman" w:cs="Times New Roman"/>
          <w:lang w:val="fr-FR" w:eastAsia="en-US"/>
        </w:rPr>
        <w:t xml:space="preserve">. D’après des études menées récemment au Samoa, le dépistage du cancer du col de l’utérus par frottis cervico-utérin semble possible et acceptable, et présente un bon rapport coût/efficacité, selon les cas de figure envisagés. </w:t>
      </w:r>
    </w:p>
    <w:p w14:paraId="30B6DD6A" w14:textId="77777777" w:rsidR="008D65CB" w:rsidRPr="008D65CB" w:rsidRDefault="008D65CB" w:rsidP="008D65CB">
      <w:pPr>
        <w:spacing w:after="160" w:line="259" w:lineRule="auto"/>
        <w:ind w:left="720"/>
        <w:contextualSpacing/>
        <w:rPr>
          <w:rFonts w:ascii="Times New Roman" w:eastAsiaTheme="minorHAnsi" w:hAnsi="Times New Roman" w:cs="Times New Roman"/>
          <w:i/>
          <w:lang w:val="fr-FR" w:eastAsia="en-US"/>
        </w:rPr>
      </w:pPr>
    </w:p>
    <w:p w14:paraId="7258F695" w14:textId="77777777" w:rsidR="008D65CB" w:rsidRPr="008D65CB" w:rsidRDefault="008D65CB" w:rsidP="008D65CB">
      <w:pPr>
        <w:spacing w:after="160" w:line="259" w:lineRule="auto"/>
        <w:ind w:left="720"/>
        <w:contextualSpacing/>
        <w:rPr>
          <w:rFonts w:ascii="Times New Roman" w:eastAsiaTheme="minorHAnsi" w:hAnsi="Times New Roman" w:cs="Times New Roman"/>
          <w:i/>
          <w:lang w:val="fr-FR" w:eastAsia="en-US"/>
        </w:rPr>
      </w:pPr>
      <w:r w:rsidRPr="008D65CB">
        <w:rPr>
          <w:rFonts w:ascii="Times New Roman" w:eastAsiaTheme="minorHAnsi" w:hAnsi="Times New Roman" w:cs="Times New Roman"/>
          <w:i/>
          <w:lang w:val="fr-FR" w:eastAsia="en-US"/>
        </w:rPr>
        <w:t xml:space="preserve">Nous recommandons que, d’ici 2030, 70 % des jeunes filles âgées de 9 à 13 ans soient vaccinées contre le PVH et qu’au moins 70 % des femmes de 30 à 49 ans se soumettent au moins une fois au dépistage du cancer du col de l’utérus, et qu’elles puissent recevoir en temps voulu un traitement des lésions précancéreuses sûr et efficace, dans tous les pays océaniens. </w:t>
      </w:r>
    </w:p>
    <w:p w14:paraId="59F8B27B" w14:textId="77777777" w:rsidR="008D65CB" w:rsidRPr="008D65CB" w:rsidRDefault="008D65CB" w:rsidP="008D65CB">
      <w:pPr>
        <w:spacing w:after="160" w:line="259" w:lineRule="auto"/>
        <w:ind w:left="720"/>
        <w:contextualSpacing/>
        <w:rPr>
          <w:rFonts w:ascii="Times New Roman" w:eastAsiaTheme="minorHAnsi" w:hAnsi="Times New Roman" w:cs="Times New Roman"/>
          <w:i/>
          <w:lang w:val="fr-FR" w:eastAsia="en-US"/>
        </w:rPr>
      </w:pPr>
    </w:p>
    <w:p w14:paraId="34E3F85E" w14:textId="77777777" w:rsidR="008D65CB" w:rsidRDefault="008D65CB" w:rsidP="008D65CB">
      <w:pPr>
        <w:numPr>
          <w:ilvl w:val="0"/>
          <w:numId w:val="48"/>
        </w:numPr>
        <w:spacing w:after="160" w:line="259" w:lineRule="auto"/>
        <w:ind w:left="720"/>
        <w:contextualSpacing/>
        <w:rPr>
          <w:rFonts w:ascii="Times New Roman" w:eastAsiaTheme="minorHAnsi" w:hAnsi="Times New Roman" w:cs="Times New Roman"/>
          <w:lang w:val="fr-FR" w:eastAsia="en-US"/>
        </w:rPr>
      </w:pPr>
      <w:r w:rsidRPr="008D65CB">
        <w:rPr>
          <w:rFonts w:ascii="Times New Roman" w:eastAsiaTheme="minorHAnsi" w:hAnsi="Times New Roman" w:cs="Times New Roman"/>
          <w:b/>
          <w:lang w:val="fr-FR" w:eastAsia="en-US"/>
        </w:rPr>
        <w:t>Améliorer la surveillance des cancers.</w:t>
      </w:r>
      <w:r w:rsidRPr="008D65CB">
        <w:rPr>
          <w:rFonts w:ascii="Times New Roman" w:eastAsiaTheme="minorHAnsi" w:hAnsi="Times New Roman" w:cs="Times New Roman"/>
          <w:lang w:val="fr-FR" w:eastAsia="en-US"/>
        </w:rPr>
        <w:t xml:space="preserve"> Afin d’assurer une planification et un suivi efficaces de la lutte contre le cancer, il est nécessaire de disposer de données précises et actualisées sur les tendances actuelles et émergentes en matière d’incidence et de survie. L’Initiative mondiale pour le développement des registres du cancer (GICR) travaille en collaboration avec plusieurs pays océaniens à la création d’un registre régional. </w:t>
      </w:r>
    </w:p>
    <w:p w14:paraId="06C7DDD5" w14:textId="77777777" w:rsidR="009424C6" w:rsidRPr="008D65CB" w:rsidRDefault="009424C6" w:rsidP="009424C6">
      <w:pPr>
        <w:spacing w:after="160" w:line="259" w:lineRule="auto"/>
        <w:ind w:left="720"/>
        <w:contextualSpacing/>
        <w:rPr>
          <w:rFonts w:ascii="Times New Roman" w:eastAsiaTheme="minorHAnsi" w:hAnsi="Times New Roman" w:cs="Times New Roman"/>
          <w:lang w:val="fr-FR" w:eastAsia="en-US"/>
        </w:rPr>
      </w:pPr>
    </w:p>
    <w:p w14:paraId="28BC0644" w14:textId="77777777" w:rsidR="008D65CB" w:rsidRPr="008D65CB" w:rsidRDefault="008D65CB" w:rsidP="008D65CB">
      <w:pPr>
        <w:ind w:left="720"/>
        <w:rPr>
          <w:rFonts w:ascii="Times New Roman" w:eastAsiaTheme="minorHAnsi" w:hAnsi="Times New Roman" w:cs="Times New Roman"/>
          <w:i/>
          <w:lang w:val="fr-FR" w:eastAsia="en-US"/>
        </w:rPr>
      </w:pPr>
      <w:r w:rsidRPr="008D65CB">
        <w:rPr>
          <w:rFonts w:ascii="Times New Roman" w:eastAsiaTheme="minorHAnsi" w:hAnsi="Times New Roman" w:cs="Times New Roman"/>
          <w:i/>
          <w:lang w:val="fr-FR" w:eastAsia="en-US"/>
        </w:rPr>
        <w:t>Nous soutenons cette initiative et nous recommandons que, d’ici 2025, des ressources régulières et durables soient trouvées afin de garantir sa mise en place et d’assurer sa viabilité dans au moins cinq pays océaniens qui ne disposent actuellement pas d’un registre du cancer de qualité.</w:t>
      </w:r>
    </w:p>
    <w:p w14:paraId="5049298E" w14:textId="77777777" w:rsidR="008D65CB" w:rsidRDefault="008D65CB" w:rsidP="008D65CB">
      <w:pPr>
        <w:numPr>
          <w:ilvl w:val="0"/>
          <w:numId w:val="48"/>
        </w:numPr>
        <w:spacing w:after="160" w:line="259" w:lineRule="auto"/>
        <w:ind w:left="720"/>
        <w:contextualSpacing/>
        <w:rPr>
          <w:rFonts w:ascii="Times New Roman" w:eastAsiaTheme="minorHAnsi" w:hAnsi="Times New Roman" w:cs="Times New Roman"/>
          <w:lang w:val="fr-FR" w:eastAsia="en-US"/>
        </w:rPr>
      </w:pPr>
      <w:r w:rsidRPr="008D65CB">
        <w:rPr>
          <w:rFonts w:ascii="Times New Roman" w:eastAsiaTheme="minorHAnsi" w:hAnsi="Times New Roman" w:cs="Times New Roman"/>
          <w:b/>
          <w:lang w:val="fr-FR" w:eastAsia="en-US"/>
        </w:rPr>
        <w:t xml:space="preserve">Développer les capacités de traitement des cancers dans la région. </w:t>
      </w:r>
      <w:r w:rsidRPr="008D65CB">
        <w:rPr>
          <w:rFonts w:ascii="Times New Roman" w:eastAsiaTheme="minorHAnsi" w:hAnsi="Times New Roman" w:cs="Times New Roman"/>
          <w:lang w:val="fr-FR" w:eastAsia="en-US"/>
        </w:rPr>
        <w:t xml:space="preserve">Un investissement à plus long terme est nécessaire au développement de capacités de traitement des cancers, capacités qui doivent inévitablement être équitablement réparties entre les différentes priorités en matière de santé et de bien-être. Le niveau de traitement assuré dans les pays dépend de leurs capacités et des ressources auxquelles ils ont accès, au sein et en dehors du pays. Il est nécessaire de mettre en place et d’entretenir des réseaux efficaces afin de garantir l’accès pour les populations restreintes. Néanmoins, pour certains pays océaniens, il existe des traitements qui peuvent uniquement être fournis en dehors du pays. Il faut au minimum garantir que les </w:t>
      </w:r>
      <w:r w:rsidRPr="008D65CB">
        <w:rPr>
          <w:rFonts w:ascii="Times New Roman" w:eastAsiaTheme="minorHAnsi" w:hAnsi="Times New Roman" w:cs="Times New Roman"/>
          <w:lang w:val="fr-FR" w:eastAsia="en-US"/>
        </w:rPr>
        <w:lastRenderedPageBreak/>
        <w:t>traitements soient sûrs, efficaces et accessibles dans les cas de pronostics favorables, comme pour les cancers curables de l’enfant, les lymphomes, les cancers colorectaux, les cancers du col de l’utérus ou les cancers du sein de stade précoce.</w:t>
      </w:r>
    </w:p>
    <w:p w14:paraId="3C95F724" w14:textId="77777777" w:rsidR="009424C6" w:rsidRPr="008D65CB" w:rsidRDefault="009424C6" w:rsidP="009424C6">
      <w:pPr>
        <w:spacing w:after="160" w:line="259" w:lineRule="auto"/>
        <w:ind w:left="720"/>
        <w:contextualSpacing/>
        <w:rPr>
          <w:rFonts w:ascii="Times New Roman" w:eastAsiaTheme="minorHAnsi" w:hAnsi="Times New Roman" w:cs="Times New Roman"/>
          <w:lang w:val="fr-FR" w:eastAsia="en-US"/>
        </w:rPr>
      </w:pPr>
    </w:p>
    <w:p w14:paraId="21CC1809" w14:textId="77777777" w:rsidR="008D65CB" w:rsidRPr="008D65CB" w:rsidRDefault="008D65CB" w:rsidP="008D65CB">
      <w:pPr>
        <w:ind w:left="720"/>
        <w:rPr>
          <w:rFonts w:ascii="Times New Roman" w:eastAsiaTheme="minorHAnsi" w:hAnsi="Times New Roman" w:cs="Times New Roman"/>
          <w:i/>
          <w:lang w:val="fr-FR" w:eastAsia="en-US"/>
        </w:rPr>
      </w:pPr>
      <w:r w:rsidRPr="008D65CB">
        <w:rPr>
          <w:rFonts w:ascii="Times New Roman" w:eastAsiaTheme="minorHAnsi" w:hAnsi="Times New Roman" w:cs="Times New Roman"/>
          <w:i/>
          <w:lang w:val="fr-FR" w:eastAsia="en-US"/>
        </w:rPr>
        <w:t>Nous recommandons aux pays océaniens de fixer des objectifs et de veiller à ce que les cancers curables de l’enfant ainsi que tous les cancers colorectaux, cancers du col de l’utérus et cancers du sein de stades I et II soient pris en charge à des fins curatives, à temps et de manière efficace.</w:t>
      </w:r>
    </w:p>
    <w:p w14:paraId="2DC2D6E1" w14:textId="77777777" w:rsidR="008D65CB" w:rsidRPr="008D65CB" w:rsidRDefault="008D65CB" w:rsidP="008D65CB">
      <w:pPr>
        <w:rPr>
          <w:rFonts w:ascii="Times New Roman" w:eastAsiaTheme="minorHAnsi" w:hAnsi="Times New Roman" w:cs="Times New Roman"/>
          <w:lang w:val="fr-FR" w:eastAsia="en-US"/>
        </w:rPr>
      </w:pPr>
    </w:p>
    <w:p w14:paraId="26BA45C3" w14:textId="77777777" w:rsidR="008D65CB" w:rsidRPr="008D65CB" w:rsidRDefault="008D65CB" w:rsidP="008D65CB">
      <w:pPr>
        <w:rPr>
          <w:rFonts w:ascii="Times New Roman" w:eastAsiaTheme="minorHAnsi" w:hAnsi="Times New Roman" w:cs="Times New Roman"/>
          <w:b/>
          <w:lang w:val="fr-FR" w:eastAsia="en-US"/>
        </w:rPr>
      </w:pPr>
      <w:r w:rsidRPr="008D65CB">
        <w:rPr>
          <w:rFonts w:ascii="Times New Roman" w:eastAsiaTheme="minorHAnsi" w:hAnsi="Times New Roman" w:cs="Times New Roman"/>
          <w:b/>
          <w:lang w:val="fr-FR" w:eastAsia="en-US"/>
        </w:rPr>
        <w:t>Références</w:t>
      </w:r>
    </w:p>
    <w:sectPr w:rsidR="008D65CB" w:rsidRPr="008D65CB" w:rsidSect="007608DB">
      <w:headerReference w:type="even" r:id="rId9"/>
      <w:headerReference w:type="default" r:id="rId10"/>
      <w:headerReference w:type="first" r:id="rId11"/>
      <w:footerReference w:type="first" r:id="rId12"/>
      <w:pgSz w:w="11907" w:h="16839" w:code="9"/>
      <w:pgMar w:top="72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92F6DE" w14:textId="77777777" w:rsidR="00474711" w:rsidRDefault="00474711" w:rsidP="00DC6979">
      <w:pPr>
        <w:spacing w:after="0" w:line="240" w:lineRule="auto"/>
      </w:pPr>
      <w:r>
        <w:separator/>
      </w:r>
    </w:p>
  </w:endnote>
  <w:endnote w:type="continuationSeparator" w:id="0">
    <w:p w14:paraId="308C6223" w14:textId="77777777" w:rsidR="00474711" w:rsidRDefault="00474711" w:rsidP="00DC6979">
      <w:pPr>
        <w:spacing w:after="0" w:line="240" w:lineRule="auto"/>
      </w:pPr>
      <w:r>
        <w:continuationSeparator/>
      </w:r>
    </w:p>
  </w:endnote>
  <w:endnote w:id="1">
    <w:p w14:paraId="20411C67" w14:textId="71A206AC" w:rsidR="008D65CB" w:rsidRPr="008D65CB" w:rsidRDefault="009424C6" w:rsidP="008D65CB">
      <w:pPr>
        <w:pStyle w:val="EndnoteText"/>
        <w:rPr>
          <w:lang w:val="fr-FR"/>
        </w:rPr>
      </w:pPr>
      <w:r w:rsidRPr="009424C6">
        <w:rPr>
          <w:vertAlign w:val="superscript"/>
          <w:lang w:val="fr-FR"/>
        </w:rPr>
        <w:t>1</w:t>
      </w:r>
      <w:r w:rsidR="008D65CB">
        <w:rPr>
          <w:rStyle w:val="EndnoteReference"/>
        </w:rPr>
        <w:endnoteRef/>
      </w:r>
      <w:r w:rsidR="008D65CB" w:rsidRPr="008D65CB">
        <w:rPr>
          <w:lang w:val="fr-FR"/>
        </w:rPr>
        <w:t xml:space="preserve"> Organisation mondiale de la Santé. Combattre les MNT : « meilleurs choix » et autres interventions recommandées pour lutter contre les maladies non transmissibles.</w:t>
      </w:r>
    </w:p>
    <w:p w14:paraId="7CEB5EED" w14:textId="77777777" w:rsidR="008D65CB" w:rsidRDefault="00474711" w:rsidP="008D65CB">
      <w:pPr>
        <w:pStyle w:val="EndnoteText"/>
        <w:rPr>
          <w:lang w:val="fr-FR"/>
        </w:rPr>
      </w:pPr>
      <w:hyperlink r:id="rId1" w:history="1">
        <w:r w:rsidR="008D65CB" w:rsidRPr="008D65CB">
          <w:rPr>
            <w:rStyle w:val="Hyperlink"/>
            <w:lang w:val="fr-FR"/>
          </w:rPr>
          <w:t>https://apps.who.int/iris/bitstream/handle/10665/259350/WHO-NMH-NVI-17.9-fre.pdf?sequence=1&amp;isAllowed=y</w:t>
        </w:r>
      </w:hyperlink>
      <w:r w:rsidR="008D65CB" w:rsidRPr="008D65CB">
        <w:rPr>
          <w:lang w:val="fr-FR"/>
        </w:rPr>
        <w:t>. : Organisation mondiale de la Santé, 2017.</w:t>
      </w:r>
    </w:p>
    <w:p w14:paraId="7C196F8B" w14:textId="77777777" w:rsidR="00094EF5" w:rsidRPr="008D65CB" w:rsidRDefault="00094EF5" w:rsidP="00094EF5">
      <w:pPr>
        <w:spacing w:after="0" w:line="240" w:lineRule="auto"/>
        <w:rPr>
          <w:rFonts w:ascii="Times New Roman" w:eastAsiaTheme="minorHAnsi" w:hAnsi="Times New Roman" w:cs="Times New Roman"/>
          <w:noProof/>
          <w:lang w:val="en-AU" w:eastAsia="en-US"/>
        </w:rPr>
      </w:pPr>
      <w:proofErr w:type="gramStart"/>
      <w:r w:rsidRPr="00094EF5">
        <w:rPr>
          <w:rFonts w:ascii="Times New Roman" w:eastAsiaTheme="minorHAnsi" w:hAnsi="Times New Roman" w:cs="Times New Roman"/>
          <w:vertAlign w:val="superscript"/>
          <w:lang w:val="en-AU" w:eastAsia="en-US"/>
        </w:rPr>
        <w:t>2</w:t>
      </w:r>
      <w:r w:rsidRPr="00094EF5">
        <w:rPr>
          <w:rFonts w:ascii="Times New Roman" w:eastAsiaTheme="minorHAnsi" w:hAnsi="Times New Roman" w:cs="Times New Roman"/>
          <w:lang w:val="en-AU" w:eastAsia="en-US"/>
        </w:rPr>
        <w:t xml:space="preserve"> </w:t>
      </w:r>
      <w:proofErr w:type="spellStart"/>
      <w:r w:rsidRPr="00094EF5">
        <w:rPr>
          <w:rFonts w:ascii="Times New Roman" w:eastAsiaTheme="minorHAnsi" w:hAnsi="Times New Roman" w:cs="Times New Roman"/>
          <w:lang w:val="en-AU" w:eastAsia="en-US"/>
        </w:rPr>
        <w:t>Rijnberg</w:t>
      </w:r>
      <w:proofErr w:type="spellEnd"/>
      <w:r w:rsidRPr="00094EF5">
        <w:rPr>
          <w:rFonts w:ascii="Times New Roman" w:eastAsiaTheme="minorHAnsi" w:hAnsi="Times New Roman" w:cs="Times New Roman"/>
          <w:lang w:val="en-AU" w:eastAsia="en-US"/>
        </w:rPr>
        <w:t xml:space="preserve"> V.</w:t>
      </w:r>
      <w:proofErr w:type="gramEnd"/>
      <w:r w:rsidRPr="00094EF5">
        <w:rPr>
          <w:rFonts w:ascii="Times New Roman" w:eastAsiaTheme="minorHAnsi" w:hAnsi="Times New Roman" w:cs="Times New Roman"/>
          <w:lang w:val="en-AU" w:eastAsia="en-US"/>
        </w:rPr>
        <w:t xml:space="preserve"> Is cervical cancer screening programme cost-effective in </w:t>
      </w:r>
      <w:proofErr w:type="gramStart"/>
      <w:r w:rsidRPr="00094EF5">
        <w:rPr>
          <w:rFonts w:ascii="Times New Roman" w:eastAsiaTheme="minorHAnsi" w:hAnsi="Times New Roman" w:cs="Times New Roman"/>
          <w:lang w:val="en-AU" w:eastAsia="en-US"/>
        </w:rPr>
        <w:t>Samoa ?</w:t>
      </w:r>
      <w:proofErr w:type="gramEnd"/>
      <w:r w:rsidRPr="00094EF5">
        <w:rPr>
          <w:rFonts w:ascii="Times New Roman" w:eastAsiaTheme="minorHAnsi" w:hAnsi="Times New Roman" w:cs="Times New Roman"/>
          <w:lang w:val="en-AU" w:eastAsia="en-US"/>
        </w:rPr>
        <w:t xml:space="preserve"> Dunedin. University of Otago; 2018</w:t>
      </w:r>
    </w:p>
    <w:p w14:paraId="4FEAC1CB" w14:textId="77777777" w:rsidR="00094EF5" w:rsidRPr="008D65CB" w:rsidRDefault="00094EF5" w:rsidP="008D65CB">
      <w:pPr>
        <w:pStyle w:val="EndnoteText"/>
        <w:rPr>
          <w:lang w:val="fr-FR"/>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yriadPro-SemiCn">
    <w:altName w:val="MV Boli"/>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7B91DE" w14:textId="77777777" w:rsidR="00D04BAE" w:rsidRDefault="00D04BAE" w:rsidP="00BD60F7">
    <w:pPr>
      <w:pStyle w:val="Footer"/>
      <w:pBdr>
        <w:top w:val="single" w:sz="4" w:space="1" w:color="D9D9D9" w:themeColor="background1" w:themeShade="D9"/>
      </w:pBdr>
      <w:rPr>
        <w:b/>
        <w:bCs/>
      </w:rPr>
    </w:pPr>
  </w:p>
  <w:p w14:paraId="7F97EBB4" w14:textId="77777777" w:rsidR="00D04BAE" w:rsidRDefault="00D04B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6F09F8" w14:textId="77777777" w:rsidR="00474711" w:rsidRDefault="00474711" w:rsidP="00DC6979">
      <w:pPr>
        <w:spacing w:after="0" w:line="240" w:lineRule="auto"/>
      </w:pPr>
      <w:r>
        <w:separator/>
      </w:r>
    </w:p>
  </w:footnote>
  <w:footnote w:type="continuationSeparator" w:id="0">
    <w:p w14:paraId="1D903950" w14:textId="77777777" w:rsidR="00474711" w:rsidRDefault="00474711" w:rsidP="00DC69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51FEB2" w14:textId="2B785E6E" w:rsidR="00D04BAE" w:rsidRDefault="008E35B6" w:rsidP="00BD60F7">
    <w:pPr>
      <w:pStyle w:val="Header"/>
      <w:rPr>
        <w:rFonts w:asciiTheme="majorBidi" w:hAnsiTheme="majorBidi" w:cstheme="majorBidi"/>
        <w:b/>
        <w:bCs/>
        <w:noProof/>
      </w:rPr>
    </w:pPr>
    <w:r w:rsidRPr="008E35B6">
      <w:rPr>
        <w:rFonts w:asciiTheme="majorBidi" w:hAnsiTheme="majorBidi" w:cstheme="majorBidi"/>
        <w:b/>
        <w:bCs/>
      </w:rPr>
      <w:t xml:space="preserve">PIC13/S4/4/Info </w:t>
    </w:r>
    <w:r>
      <w:rPr>
        <w:rFonts w:asciiTheme="majorBidi" w:hAnsiTheme="majorBidi" w:cstheme="majorBidi"/>
        <w:b/>
        <w:bCs/>
      </w:rPr>
      <w:br/>
    </w:r>
    <w:r w:rsidR="00D04BAE" w:rsidRPr="007608DB">
      <w:rPr>
        <w:rFonts w:asciiTheme="majorBidi" w:hAnsiTheme="majorBidi" w:cstheme="majorBidi"/>
        <w:b/>
        <w:bCs/>
      </w:rPr>
      <w:t xml:space="preserve">page </w:t>
    </w:r>
    <w:r w:rsidR="00D04BAE" w:rsidRPr="007608DB">
      <w:rPr>
        <w:rFonts w:asciiTheme="majorBidi" w:hAnsiTheme="majorBidi" w:cstheme="majorBidi"/>
        <w:b/>
        <w:bCs/>
      </w:rPr>
      <w:fldChar w:fldCharType="begin"/>
    </w:r>
    <w:r w:rsidR="00D04BAE" w:rsidRPr="007608DB">
      <w:rPr>
        <w:rFonts w:asciiTheme="majorBidi" w:hAnsiTheme="majorBidi" w:cstheme="majorBidi"/>
        <w:b/>
        <w:bCs/>
      </w:rPr>
      <w:instrText xml:space="preserve"> PAGE   \* MERGEFORMAT </w:instrText>
    </w:r>
    <w:r w:rsidR="00D04BAE" w:rsidRPr="007608DB">
      <w:rPr>
        <w:rFonts w:asciiTheme="majorBidi" w:hAnsiTheme="majorBidi" w:cstheme="majorBidi"/>
        <w:b/>
        <w:bCs/>
      </w:rPr>
      <w:fldChar w:fldCharType="separate"/>
    </w:r>
    <w:r>
      <w:rPr>
        <w:rFonts w:asciiTheme="majorBidi" w:hAnsiTheme="majorBidi" w:cstheme="majorBidi"/>
        <w:b/>
        <w:bCs/>
        <w:noProof/>
      </w:rPr>
      <w:t>4</w:t>
    </w:r>
    <w:r w:rsidR="00D04BAE" w:rsidRPr="007608DB">
      <w:rPr>
        <w:rFonts w:asciiTheme="majorBidi" w:hAnsiTheme="majorBidi" w:cstheme="majorBidi"/>
        <w:b/>
        <w:bCs/>
        <w:noProof/>
      </w:rPr>
      <w:fldChar w:fldCharType="end"/>
    </w:r>
  </w:p>
  <w:p w14:paraId="60F3BFD5" w14:textId="77777777" w:rsidR="00D04BAE" w:rsidRPr="007608DB" w:rsidRDefault="00D04BAE" w:rsidP="00BD60F7">
    <w:pPr>
      <w:pStyle w:val="Header"/>
      <w:rPr>
        <w:rFonts w:asciiTheme="majorBidi" w:hAnsiTheme="majorBidi" w:cstheme="majorBidi"/>
        <w:b/>
        <w:b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F8661E" w14:textId="0457A669" w:rsidR="00D04BAE" w:rsidRDefault="008E35B6" w:rsidP="008E35B6">
    <w:pPr>
      <w:pStyle w:val="Header"/>
      <w:jc w:val="right"/>
      <w:rPr>
        <w:rFonts w:asciiTheme="majorBidi" w:hAnsiTheme="majorBidi" w:cstheme="majorBidi"/>
        <w:b/>
        <w:bCs/>
        <w:noProof/>
      </w:rPr>
    </w:pPr>
    <w:r w:rsidRPr="008E35B6">
      <w:rPr>
        <w:rFonts w:asciiTheme="majorBidi" w:hAnsiTheme="majorBidi" w:cstheme="majorBidi"/>
        <w:b/>
        <w:bCs/>
        <w:lang w:val="fr-FR"/>
      </w:rPr>
      <w:t>PIC13/S4/4/Info</w:t>
    </w:r>
    <w:r w:rsidRPr="008E35B6">
      <w:rPr>
        <w:rFonts w:asciiTheme="majorBidi" w:hAnsiTheme="majorBidi" w:cstheme="majorBidi"/>
        <w:b/>
        <w:bCs/>
      </w:rPr>
      <w:t xml:space="preserve"> </w:t>
    </w:r>
    <w:r>
      <w:rPr>
        <w:rFonts w:asciiTheme="majorBidi" w:hAnsiTheme="majorBidi" w:cstheme="majorBidi"/>
        <w:b/>
        <w:bCs/>
      </w:rPr>
      <w:br/>
    </w:r>
    <w:r w:rsidR="00D04BAE">
      <w:rPr>
        <w:rFonts w:asciiTheme="majorBidi" w:hAnsiTheme="majorBidi" w:cstheme="majorBidi"/>
        <w:b/>
        <w:bCs/>
      </w:rPr>
      <w:t>p</w:t>
    </w:r>
    <w:r w:rsidR="00D04BAE" w:rsidRPr="007608DB">
      <w:rPr>
        <w:rFonts w:asciiTheme="majorBidi" w:hAnsiTheme="majorBidi" w:cstheme="majorBidi"/>
        <w:b/>
        <w:bCs/>
      </w:rPr>
      <w:t xml:space="preserve">age </w:t>
    </w:r>
    <w:r w:rsidR="00D04BAE" w:rsidRPr="007608DB">
      <w:rPr>
        <w:rFonts w:asciiTheme="majorBidi" w:hAnsiTheme="majorBidi" w:cstheme="majorBidi"/>
        <w:b/>
        <w:bCs/>
      </w:rPr>
      <w:fldChar w:fldCharType="begin"/>
    </w:r>
    <w:r w:rsidR="00D04BAE" w:rsidRPr="007608DB">
      <w:rPr>
        <w:rFonts w:asciiTheme="majorBidi" w:hAnsiTheme="majorBidi" w:cstheme="majorBidi"/>
        <w:b/>
        <w:bCs/>
      </w:rPr>
      <w:instrText xml:space="preserve"> PAGE   \* MERGEFORMAT </w:instrText>
    </w:r>
    <w:r w:rsidR="00D04BAE" w:rsidRPr="007608DB">
      <w:rPr>
        <w:rFonts w:asciiTheme="majorBidi" w:hAnsiTheme="majorBidi" w:cstheme="majorBidi"/>
        <w:b/>
        <w:bCs/>
      </w:rPr>
      <w:fldChar w:fldCharType="separate"/>
    </w:r>
    <w:r>
      <w:rPr>
        <w:rFonts w:asciiTheme="majorBidi" w:hAnsiTheme="majorBidi" w:cstheme="majorBidi"/>
        <w:b/>
        <w:bCs/>
        <w:noProof/>
      </w:rPr>
      <w:t>3</w:t>
    </w:r>
    <w:r w:rsidR="00D04BAE" w:rsidRPr="007608DB">
      <w:rPr>
        <w:rFonts w:asciiTheme="majorBidi" w:hAnsiTheme="majorBidi" w:cstheme="majorBidi"/>
        <w:b/>
        <w:bCs/>
        <w:noProof/>
      </w:rPr>
      <w:fldChar w:fldCharType="end"/>
    </w:r>
  </w:p>
  <w:p w14:paraId="187239C9" w14:textId="77777777" w:rsidR="00D04BAE" w:rsidRPr="007608DB" w:rsidRDefault="00D04BAE" w:rsidP="00BD60F7">
    <w:pPr>
      <w:pStyle w:val="Header"/>
      <w:jc w:val="right"/>
      <w:rPr>
        <w:rFonts w:asciiTheme="majorBidi" w:hAnsiTheme="majorBidi" w:cstheme="majorBidi"/>
        <w:b/>
        <w:b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A33683" w14:textId="1C63F042" w:rsidR="008E35B6" w:rsidRDefault="008E35B6" w:rsidP="008E35B6">
    <w:pPr>
      <w:pStyle w:val="Header"/>
      <w:jc w:val="center"/>
    </w:pPr>
    <w:r>
      <w:rPr>
        <w:noProof/>
        <w:lang w:val="en-US" w:eastAsia="en-US"/>
      </w:rPr>
      <w:drawing>
        <wp:inline distT="0" distB="0" distL="0" distR="0" wp14:anchorId="4104DADC" wp14:editId="724CFD50">
          <wp:extent cx="5669280" cy="1431573"/>
          <wp:effectExtent l="0" t="0" r="7620" b="0"/>
          <wp:docPr id="1" name="Picture 1" descr="D:\Users\sealw\Desktop\PHMM\Graphics\13 PHMM mainbanner 2019 small 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sealw\Desktop\PHMM\Graphics\13 PHMM mainbanner 2019 small F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69979" cy="1431749"/>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B641A"/>
    <w:multiLevelType w:val="hybridMultilevel"/>
    <w:tmpl w:val="27C2CBB2"/>
    <w:lvl w:ilvl="0" w:tplc="32F8A7CC">
      <w:numFmt w:val="bullet"/>
      <w:lvlText w:val="•"/>
      <w:lvlJc w:val="left"/>
      <w:pPr>
        <w:ind w:left="360" w:hanging="72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5BE7783"/>
    <w:multiLevelType w:val="hybridMultilevel"/>
    <w:tmpl w:val="65FCD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E62902"/>
    <w:multiLevelType w:val="hybridMultilevel"/>
    <w:tmpl w:val="F8B86A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A6F74AF"/>
    <w:multiLevelType w:val="hybridMultilevel"/>
    <w:tmpl w:val="35AA444A"/>
    <w:lvl w:ilvl="0" w:tplc="08090015">
      <w:start w:val="1"/>
      <w:numFmt w:val="upperLetter"/>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12406463"/>
    <w:multiLevelType w:val="hybridMultilevel"/>
    <w:tmpl w:val="05F833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nsid w:val="15CB306E"/>
    <w:multiLevelType w:val="hybridMultilevel"/>
    <w:tmpl w:val="2E5E3E9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65560A5"/>
    <w:multiLevelType w:val="hybridMultilevel"/>
    <w:tmpl w:val="E2185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590D36"/>
    <w:multiLevelType w:val="hybridMultilevel"/>
    <w:tmpl w:val="E0560620"/>
    <w:lvl w:ilvl="0" w:tplc="4A864F42">
      <w:start w:val="1"/>
      <w:numFmt w:val="bullet"/>
      <w:lvlText w:val="•"/>
      <w:lvlJc w:val="left"/>
      <w:pPr>
        <w:tabs>
          <w:tab w:val="num" w:pos="720"/>
        </w:tabs>
        <w:ind w:left="720" w:hanging="360"/>
      </w:pPr>
      <w:rPr>
        <w:rFonts w:ascii="Arial" w:hAnsi="Arial" w:hint="default"/>
      </w:rPr>
    </w:lvl>
    <w:lvl w:ilvl="1" w:tplc="00BC7D1E">
      <w:start w:val="1655"/>
      <w:numFmt w:val="bullet"/>
      <w:lvlText w:val="•"/>
      <w:lvlJc w:val="left"/>
      <w:pPr>
        <w:tabs>
          <w:tab w:val="num" w:pos="1440"/>
        </w:tabs>
        <w:ind w:left="1440" w:hanging="360"/>
      </w:pPr>
      <w:rPr>
        <w:rFonts w:ascii="Arial" w:hAnsi="Arial" w:hint="default"/>
      </w:rPr>
    </w:lvl>
    <w:lvl w:ilvl="2" w:tplc="72D27C2C" w:tentative="1">
      <w:start w:val="1"/>
      <w:numFmt w:val="bullet"/>
      <w:lvlText w:val="•"/>
      <w:lvlJc w:val="left"/>
      <w:pPr>
        <w:tabs>
          <w:tab w:val="num" w:pos="2160"/>
        </w:tabs>
        <w:ind w:left="2160" w:hanging="360"/>
      </w:pPr>
      <w:rPr>
        <w:rFonts w:ascii="Arial" w:hAnsi="Arial" w:hint="default"/>
      </w:rPr>
    </w:lvl>
    <w:lvl w:ilvl="3" w:tplc="46E2CF28" w:tentative="1">
      <w:start w:val="1"/>
      <w:numFmt w:val="bullet"/>
      <w:lvlText w:val="•"/>
      <w:lvlJc w:val="left"/>
      <w:pPr>
        <w:tabs>
          <w:tab w:val="num" w:pos="2880"/>
        </w:tabs>
        <w:ind w:left="2880" w:hanging="360"/>
      </w:pPr>
      <w:rPr>
        <w:rFonts w:ascii="Arial" w:hAnsi="Arial" w:hint="default"/>
      </w:rPr>
    </w:lvl>
    <w:lvl w:ilvl="4" w:tplc="DE3AD188" w:tentative="1">
      <w:start w:val="1"/>
      <w:numFmt w:val="bullet"/>
      <w:lvlText w:val="•"/>
      <w:lvlJc w:val="left"/>
      <w:pPr>
        <w:tabs>
          <w:tab w:val="num" w:pos="3600"/>
        </w:tabs>
        <w:ind w:left="3600" w:hanging="360"/>
      </w:pPr>
      <w:rPr>
        <w:rFonts w:ascii="Arial" w:hAnsi="Arial" w:hint="default"/>
      </w:rPr>
    </w:lvl>
    <w:lvl w:ilvl="5" w:tplc="D836140E" w:tentative="1">
      <w:start w:val="1"/>
      <w:numFmt w:val="bullet"/>
      <w:lvlText w:val="•"/>
      <w:lvlJc w:val="left"/>
      <w:pPr>
        <w:tabs>
          <w:tab w:val="num" w:pos="4320"/>
        </w:tabs>
        <w:ind w:left="4320" w:hanging="360"/>
      </w:pPr>
      <w:rPr>
        <w:rFonts w:ascii="Arial" w:hAnsi="Arial" w:hint="default"/>
      </w:rPr>
    </w:lvl>
    <w:lvl w:ilvl="6" w:tplc="CF8A9012" w:tentative="1">
      <w:start w:val="1"/>
      <w:numFmt w:val="bullet"/>
      <w:lvlText w:val="•"/>
      <w:lvlJc w:val="left"/>
      <w:pPr>
        <w:tabs>
          <w:tab w:val="num" w:pos="5040"/>
        </w:tabs>
        <w:ind w:left="5040" w:hanging="360"/>
      </w:pPr>
      <w:rPr>
        <w:rFonts w:ascii="Arial" w:hAnsi="Arial" w:hint="default"/>
      </w:rPr>
    </w:lvl>
    <w:lvl w:ilvl="7" w:tplc="653079AC" w:tentative="1">
      <w:start w:val="1"/>
      <w:numFmt w:val="bullet"/>
      <w:lvlText w:val="•"/>
      <w:lvlJc w:val="left"/>
      <w:pPr>
        <w:tabs>
          <w:tab w:val="num" w:pos="5760"/>
        </w:tabs>
        <w:ind w:left="5760" w:hanging="360"/>
      </w:pPr>
      <w:rPr>
        <w:rFonts w:ascii="Arial" w:hAnsi="Arial" w:hint="default"/>
      </w:rPr>
    </w:lvl>
    <w:lvl w:ilvl="8" w:tplc="1BF8678C" w:tentative="1">
      <w:start w:val="1"/>
      <w:numFmt w:val="bullet"/>
      <w:lvlText w:val="•"/>
      <w:lvlJc w:val="left"/>
      <w:pPr>
        <w:tabs>
          <w:tab w:val="num" w:pos="6480"/>
        </w:tabs>
        <w:ind w:left="6480" w:hanging="360"/>
      </w:pPr>
      <w:rPr>
        <w:rFonts w:ascii="Arial" w:hAnsi="Arial" w:hint="default"/>
      </w:rPr>
    </w:lvl>
  </w:abstractNum>
  <w:abstractNum w:abstractNumId="8">
    <w:nsid w:val="16806CDD"/>
    <w:multiLevelType w:val="hybridMultilevel"/>
    <w:tmpl w:val="716465C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nsid w:val="1D2F3F55"/>
    <w:multiLevelType w:val="hybridMultilevel"/>
    <w:tmpl w:val="B6FECD52"/>
    <w:lvl w:ilvl="0" w:tplc="F040599A">
      <w:start w:val="1"/>
      <w:numFmt w:val="bullet"/>
      <w:lvlText w:val="•"/>
      <w:lvlJc w:val="left"/>
      <w:pPr>
        <w:tabs>
          <w:tab w:val="num" w:pos="360"/>
        </w:tabs>
        <w:ind w:left="36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E8C28C4"/>
    <w:multiLevelType w:val="hybridMultilevel"/>
    <w:tmpl w:val="5A70E6B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F0E0A9D"/>
    <w:multiLevelType w:val="hybridMultilevel"/>
    <w:tmpl w:val="C078542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nsid w:val="1F455C66"/>
    <w:multiLevelType w:val="hybridMultilevel"/>
    <w:tmpl w:val="85CEA264"/>
    <w:lvl w:ilvl="0" w:tplc="1409000F">
      <w:start w:val="1"/>
      <w:numFmt w:val="decimal"/>
      <w:lvlText w:val="%1."/>
      <w:lvlJc w:val="left"/>
      <w:pPr>
        <w:ind w:left="360" w:hanging="360"/>
      </w:pPr>
      <w:rPr>
        <w:rFonts w:hint="default"/>
      </w:r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13">
    <w:nsid w:val="23356EA5"/>
    <w:multiLevelType w:val="hybridMultilevel"/>
    <w:tmpl w:val="E45E847A"/>
    <w:lvl w:ilvl="0" w:tplc="040C0017">
      <w:start w:val="1"/>
      <w:numFmt w:val="lowerLetter"/>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4">
    <w:nsid w:val="24812107"/>
    <w:multiLevelType w:val="hybridMultilevel"/>
    <w:tmpl w:val="5DF033E2"/>
    <w:lvl w:ilvl="0" w:tplc="F040599A">
      <w:start w:val="1"/>
      <w:numFmt w:val="bullet"/>
      <w:lvlText w:val="•"/>
      <w:lvlJc w:val="left"/>
      <w:pPr>
        <w:tabs>
          <w:tab w:val="num" w:pos="360"/>
        </w:tabs>
        <w:ind w:left="360" w:hanging="360"/>
      </w:pPr>
      <w:rPr>
        <w:rFonts w:ascii="Arial" w:hAnsi="Arial" w:hint="default"/>
      </w:rPr>
    </w:lvl>
    <w:lvl w:ilvl="1" w:tplc="FD36CBB4">
      <w:start w:val="1"/>
      <w:numFmt w:val="bullet"/>
      <w:lvlText w:val="•"/>
      <w:lvlJc w:val="left"/>
      <w:pPr>
        <w:tabs>
          <w:tab w:val="num" w:pos="1080"/>
        </w:tabs>
        <w:ind w:left="1080" w:hanging="360"/>
      </w:pPr>
      <w:rPr>
        <w:rFonts w:ascii="Arial" w:hAnsi="Arial" w:hint="default"/>
      </w:rPr>
    </w:lvl>
    <w:lvl w:ilvl="2" w:tplc="5546C9E4" w:tentative="1">
      <w:start w:val="1"/>
      <w:numFmt w:val="bullet"/>
      <w:lvlText w:val="•"/>
      <w:lvlJc w:val="left"/>
      <w:pPr>
        <w:tabs>
          <w:tab w:val="num" w:pos="1800"/>
        </w:tabs>
        <w:ind w:left="1800" w:hanging="360"/>
      </w:pPr>
      <w:rPr>
        <w:rFonts w:ascii="Arial" w:hAnsi="Arial" w:hint="default"/>
      </w:rPr>
    </w:lvl>
    <w:lvl w:ilvl="3" w:tplc="C35E9D10" w:tentative="1">
      <w:start w:val="1"/>
      <w:numFmt w:val="bullet"/>
      <w:lvlText w:val="•"/>
      <w:lvlJc w:val="left"/>
      <w:pPr>
        <w:tabs>
          <w:tab w:val="num" w:pos="2520"/>
        </w:tabs>
        <w:ind w:left="2520" w:hanging="360"/>
      </w:pPr>
      <w:rPr>
        <w:rFonts w:ascii="Arial" w:hAnsi="Arial" w:hint="default"/>
      </w:rPr>
    </w:lvl>
    <w:lvl w:ilvl="4" w:tplc="DC0AF0A6" w:tentative="1">
      <w:start w:val="1"/>
      <w:numFmt w:val="bullet"/>
      <w:lvlText w:val="•"/>
      <w:lvlJc w:val="left"/>
      <w:pPr>
        <w:tabs>
          <w:tab w:val="num" w:pos="3240"/>
        </w:tabs>
        <w:ind w:left="3240" w:hanging="360"/>
      </w:pPr>
      <w:rPr>
        <w:rFonts w:ascii="Arial" w:hAnsi="Arial" w:hint="default"/>
      </w:rPr>
    </w:lvl>
    <w:lvl w:ilvl="5" w:tplc="C9F0A56C" w:tentative="1">
      <w:start w:val="1"/>
      <w:numFmt w:val="bullet"/>
      <w:lvlText w:val="•"/>
      <w:lvlJc w:val="left"/>
      <w:pPr>
        <w:tabs>
          <w:tab w:val="num" w:pos="3960"/>
        </w:tabs>
        <w:ind w:left="3960" w:hanging="360"/>
      </w:pPr>
      <w:rPr>
        <w:rFonts w:ascii="Arial" w:hAnsi="Arial" w:hint="default"/>
      </w:rPr>
    </w:lvl>
    <w:lvl w:ilvl="6" w:tplc="AFC816BC" w:tentative="1">
      <w:start w:val="1"/>
      <w:numFmt w:val="bullet"/>
      <w:lvlText w:val="•"/>
      <w:lvlJc w:val="left"/>
      <w:pPr>
        <w:tabs>
          <w:tab w:val="num" w:pos="4680"/>
        </w:tabs>
        <w:ind w:left="4680" w:hanging="360"/>
      </w:pPr>
      <w:rPr>
        <w:rFonts w:ascii="Arial" w:hAnsi="Arial" w:hint="default"/>
      </w:rPr>
    </w:lvl>
    <w:lvl w:ilvl="7" w:tplc="A5E483AE" w:tentative="1">
      <w:start w:val="1"/>
      <w:numFmt w:val="bullet"/>
      <w:lvlText w:val="•"/>
      <w:lvlJc w:val="left"/>
      <w:pPr>
        <w:tabs>
          <w:tab w:val="num" w:pos="5400"/>
        </w:tabs>
        <w:ind w:left="5400" w:hanging="360"/>
      </w:pPr>
      <w:rPr>
        <w:rFonts w:ascii="Arial" w:hAnsi="Arial" w:hint="default"/>
      </w:rPr>
    </w:lvl>
    <w:lvl w:ilvl="8" w:tplc="11704824" w:tentative="1">
      <w:start w:val="1"/>
      <w:numFmt w:val="bullet"/>
      <w:lvlText w:val="•"/>
      <w:lvlJc w:val="left"/>
      <w:pPr>
        <w:tabs>
          <w:tab w:val="num" w:pos="6120"/>
        </w:tabs>
        <w:ind w:left="6120" w:hanging="360"/>
      </w:pPr>
      <w:rPr>
        <w:rFonts w:ascii="Arial" w:hAnsi="Arial" w:hint="default"/>
      </w:rPr>
    </w:lvl>
  </w:abstractNum>
  <w:abstractNum w:abstractNumId="15">
    <w:nsid w:val="28254C68"/>
    <w:multiLevelType w:val="hybridMultilevel"/>
    <w:tmpl w:val="E86ADCAC"/>
    <w:lvl w:ilvl="0" w:tplc="D0CEE3AC">
      <w:start w:val="4"/>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CC66712"/>
    <w:multiLevelType w:val="hybridMultilevel"/>
    <w:tmpl w:val="26BA0E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F091B1B"/>
    <w:multiLevelType w:val="hybridMultilevel"/>
    <w:tmpl w:val="03621C7A"/>
    <w:lvl w:ilvl="0" w:tplc="040C0017">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8">
    <w:nsid w:val="35540901"/>
    <w:multiLevelType w:val="hybridMultilevel"/>
    <w:tmpl w:val="B69C1DCC"/>
    <w:lvl w:ilvl="0" w:tplc="D682D1D6">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58C0C88"/>
    <w:multiLevelType w:val="hybridMultilevel"/>
    <w:tmpl w:val="B96E550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36261259"/>
    <w:multiLevelType w:val="hybridMultilevel"/>
    <w:tmpl w:val="22A0A246"/>
    <w:lvl w:ilvl="0" w:tplc="F040599A">
      <w:start w:val="1"/>
      <w:numFmt w:val="bullet"/>
      <w:lvlText w:val="•"/>
      <w:lvlJc w:val="left"/>
      <w:pPr>
        <w:tabs>
          <w:tab w:val="num" w:pos="360"/>
        </w:tabs>
        <w:ind w:left="36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6F62A16"/>
    <w:multiLevelType w:val="hybridMultilevel"/>
    <w:tmpl w:val="8A380660"/>
    <w:lvl w:ilvl="0" w:tplc="040C0017">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2">
    <w:nsid w:val="37556E58"/>
    <w:multiLevelType w:val="hybridMultilevel"/>
    <w:tmpl w:val="4D4016F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38F265BB"/>
    <w:multiLevelType w:val="hybridMultilevel"/>
    <w:tmpl w:val="CCAEE334"/>
    <w:lvl w:ilvl="0" w:tplc="B71E9D5A">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4">
    <w:nsid w:val="3B89413E"/>
    <w:multiLevelType w:val="hybridMultilevel"/>
    <w:tmpl w:val="645EF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1790368"/>
    <w:multiLevelType w:val="hybridMultilevel"/>
    <w:tmpl w:val="96B07282"/>
    <w:lvl w:ilvl="0" w:tplc="32F8A7CC">
      <w:numFmt w:val="bullet"/>
      <w:lvlText w:val="•"/>
      <w:lvlJc w:val="left"/>
      <w:pPr>
        <w:ind w:left="360" w:hanging="72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1D67FFA"/>
    <w:multiLevelType w:val="hybridMultilevel"/>
    <w:tmpl w:val="C96245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43B23E49"/>
    <w:multiLevelType w:val="multilevel"/>
    <w:tmpl w:val="DFDA3414"/>
    <w:lvl w:ilvl="0">
      <w:start w:val="1"/>
      <w:numFmt w:val="decimal"/>
      <w:lvlText w:val="%1."/>
      <w:lvlJc w:val="left"/>
      <w:pPr>
        <w:ind w:left="720" w:hanging="360"/>
      </w:pPr>
      <w:rPr>
        <w:rFonts w:eastAsia="Malgun Gothic" w:hint="default"/>
      </w:rPr>
    </w:lvl>
    <w:lvl w:ilvl="1">
      <w:start w:val="3"/>
      <w:numFmt w:val="decimal"/>
      <w:isLgl/>
      <w:lvlText w:val="%1.%2"/>
      <w:lvlJc w:val="left"/>
      <w:pPr>
        <w:ind w:left="924" w:hanging="56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nsid w:val="43DB79EA"/>
    <w:multiLevelType w:val="hybridMultilevel"/>
    <w:tmpl w:val="B49C4784"/>
    <w:lvl w:ilvl="0" w:tplc="04090003">
      <w:start w:val="1"/>
      <w:numFmt w:val="bullet"/>
      <w:lvlText w:val="o"/>
      <w:lvlJc w:val="left"/>
      <w:pPr>
        <w:ind w:left="1620" w:hanging="360"/>
      </w:pPr>
      <w:rPr>
        <w:rFonts w:ascii="Courier New" w:hAnsi="Courier New" w:cs="Courier New"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9">
    <w:nsid w:val="46974DB1"/>
    <w:multiLevelType w:val="hybridMultilevel"/>
    <w:tmpl w:val="8C02A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C7A29DE"/>
    <w:multiLevelType w:val="hybridMultilevel"/>
    <w:tmpl w:val="BE38FC3C"/>
    <w:lvl w:ilvl="0" w:tplc="04090001">
      <w:start w:val="1"/>
      <w:numFmt w:val="bullet"/>
      <w:lvlText w:val=""/>
      <w:lvlJc w:val="left"/>
      <w:pPr>
        <w:ind w:left="1102" w:hanging="360"/>
      </w:pPr>
      <w:rPr>
        <w:rFonts w:ascii="Symbol" w:hAnsi="Symbol" w:hint="default"/>
      </w:rPr>
    </w:lvl>
    <w:lvl w:ilvl="1" w:tplc="04090003" w:tentative="1">
      <w:start w:val="1"/>
      <w:numFmt w:val="bullet"/>
      <w:lvlText w:val="o"/>
      <w:lvlJc w:val="left"/>
      <w:pPr>
        <w:ind w:left="1822" w:hanging="360"/>
      </w:pPr>
      <w:rPr>
        <w:rFonts w:ascii="Courier New" w:hAnsi="Courier New" w:cs="Courier New" w:hint="default"/>
      </w:rPr>
    </w:lvl>
    <w:lvl w:ilvl="2" w:tplc="04090005" w:tentative="1">
      <w:start w:val="1"/>
      <w:numFmt w:val="bullet"/>
      <w:lvlText w:val=""/>
      <w:lvlJc w:val="left"/>
      <w:pPr>
        <w:ind w:left="2542" w:hanging="360"/>
      </w:pPr>
      <w:rPr>
        <w:rFonts w:ascii="Wingdings" w:hAnsi="Wingdings" w:hint="default"/>
      </w:rPr>
    </w:lvl>
    <w:lvl w:ilvl="3" w:tplc="04090001" w:tentative="1">
      <w:start w:val="1"/>
      <w:numFmt w:val="bullet"/>
      <w:lvlText w:val=""/>
      <w:lvlJc w:val="left"/>
      <w:pPr>
        <w:ind w:left="3262" w:hanging="360"/>
      </w:pPr>
      <w:rPr>
        <w:rFonts w:ascii="Symbol" w:hAnsi="Symbol" w:hint="default"/>
      </w:rPr>
    </w:lvl>
    <w:lvl w:ilvl="4" w:tplc="04090003" w:tentative="1">
      <w:start w:val="1"/>
      <w:numFmt w:val="bullet"/>
      <w:lvlText w:val="o"/>
      <w:lvlJc w:val="left"/>
      <w:pPr>
        <w:ind w:left="3982" w:hanging="360"/>
      </w:pPr>
      <w:rPr>
        <w:rFonts w:ascii="Courier New" w:hAnsi="Courier New" w:cs="Courier New" w:hint="default"/>
      </w:rPr>
    </w:lvl>
    <w:lvl w:ilvl="5" w:tplc="04090005" w:tentative="1">
      <w:start w:val="1"/>
      <w:numFmt w:val="bullet"/>
      <w:lvlText w:val=""/>
      <w:lvlJc w:val="left"/>
      <w:pPr>
        <w:ind w:left="4702" w:hanging="360"/>
      </w:pPr>
      <w:rPr>
        <w:rFonts w:ascii="Wingdings" w:hAnsi="Wingdings" w:hint="default"/>
      </w:rPr>
    </w:lvl>
    <w:lvl w:ilvl="6" w:tplc="04090001" w:tentative="1">
      <w:start w:val="1"/>
      <w:numFmt w:val="bullet"/>
      <w:lvlText w:val=""/>
      <w:lvlJc w:val="left"/>
      <w:pPr>
        <w:ind w:left="5422" w:hanging="360"/>
      </w:pPr>
      <w:rPr>
        <w:rFonts w:ascii="Symbol" w:hAnsi="Symbol" w:hint="default"/>
      </w:rPr>
    </w:lvl>
    <w:lvl w:ilvl="7" w:tplc="04090003" w:tentative="1">
      <w:start w:val="1"/>
      <w:numFmt w:val="bullet"/>
      <w:lvlText w:val="o"/>
      <w:lvlJc w:val="left"/>
      <w:pPr>
        <w:ind w:left="6142" w:hanging="360"/>
      </w:pPr>
      <w:rPr>
        <w:rFonts w:ascii="Courier New" w:hAnsi="Courier New" w:cs="Courier New" w:hint="default"/>
      </w:rPr>
    </w:lvl>
    <w:lvl w:ilvl="8" w:tplc="04090005" w:tentative="1">
      <w:start w:val="1"/>
      <w:numFmt w:val="bullet"/>
      <w:lvlText w:val=""/>
      <w:lvlJc w:val="left"/>
      <w:pPr>
        <w:ind w:left="6862" w:hanging="360"/>
      </w:pPr>
      <w:rPr>
        <w:rFonts w:ascii="Wingdings" w:hAnsi="Wingdings" w:hint="default"/>
      </w:rPr>
    </w:lvl>
  </w:abstractNum>
  <w:abstractNum w:abstractNumId="31">
    <w:nsid w:val="4E1D6513"/>
    <w:multiLevelType w:val="hybridMultilevel"/>
    <w:tmpl w:val="90849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4FBD43C3"/>
    <w:multiLevelType w:val="hybridMultilevel"/>
    <w:tmpl w:val="904ADD72"/>
    <w:lvl w:ilvl="0" w:tplc="63201A20">
      <w:start w:val="7"/>
      <w:numFmt w:val="lowerLetter"/>
      <w:lvlText w:val="%1)"/>
      <w:lvlJc w:val="left"/>
      <w:pPr>
        <w:ind w:left="1353" w:hanging="360"/>
      </w:pPr>
      <w:rPr>
        <w:rFonts w:hint="default"/>
      </w:rPr>
    </w:lvl>
    <w:lvl w:ilvl="1" w:tplc="040C0019" w:tentative="1">
      <w:start w:val="1"/>
      <w:numFmt w:val="lowerLetter"/>
      <w:lvlText w:val="%2."/>
      <w:lvlJc w:val="left"/>
      <w:pPr>
        <w:ind w:left="2073" w:hanging="360"/>
      </w:pPr>
    </w:lvl>
    <w:lvl w:ilvl="2" w:tplc="040C001B" w:tentative="1">
      <w:start w:val="1"/>
      <w:numFmt w:val="lowerRoman"/>
      <w:lvlText w:val="%3."/>
      <w:lvlJc w:val="right"/>
      <w:pPr>
        <w:ind w:left="2793" w:hanging="180"/>
      </w:pPr>
    </w:lvl>
    <w:lvl w:ilvl="3" w:tplc="040C000F" w:tentative="1">
      <w:start w:val="1"/>
      <w:numFmt w:val="decimal"/>
      <w:lvlText w:val="%4."/>
      <w:lvlJc w:val="left"/>
      <w:pPr>
        <w:ind w:left="3513" w:hanging="360"/>
      </w:pPr>
    </w:lvl>
    <w:lvl w:ilvl="4" w:tplc="040C0019" w:tentative="1">
      <w:start w:val="1"/>
      <w:numFmt w:val="lowerLetter"/>
      <w:lvlText w:val="%5."/>
      <w:lvlJc w:val="left"/>
      <w:pPr>
        <w:ind w:left="4233" w:hanging="360"/>
      </w:pPr>
    </w:lvl>
    <w:lvl w:ilvl="5" w:tplc="040C001B" w:tentative="1">
      <w:start w:val="1"/>
      <w:numFmt w:val="lowerRoman"/>
      <w:lvlText w:val="%6."/>
      <w:lvlJc w:val="right"/>
      <w:pPr>
        <w:ind w:left="4953" w:hanging="180"/>
      </w:pPr>
    </w:lvl>
    <w:lvl w:ilvl="6" w:tplc="040C000F" w:tentative="1">
      <w:start w:val="1"/>
      <w:numFmt w:val="decimal"/>
      <w:lvlText w:val="%7."/>
      <w:lvlJc w:val="left"/>
      <w:pPr>
        <w:ind w:left="5673" w:hanging="360"/>
      </w:pPr>
    </w:lvl>
    <w:lvl w:ilvl="7" w:tplc="040C0019" w:tentative="1">
      <w:start w:val="1"/>
      <w:numFmt w:val="lowerLetter"/>
      <w:lvlText w:val="%8."/>
      <w:lvlJc w:val="left"/>
      <w:pPr>
        <w:ind w:left="6393" w:hanging="360"/>
      </w:pPr>
    </w:lvl>
    <w:lvl w:ilvl="8" w:tplc="040C001B" w:tentative="1">
      <w:start w:val="1"/>
      <w:numFmt w:val="lowerRoman"/>
      <w:lvlText w:val="%9."/>
      <w:lvlJc w:val="right"/>
      <w:pPr>
        <w:ind w:left="7113" w:hanging="180"/>
      </w:pPr>
    </w:lvl>
  </w:abstractNum>
  <w:abstractNum w:abstractNumId="33">
    <w:nsid w:val="507B329D"/>
    <w:multiLevelType w:val="hybridMultilevel"/>
    <w:tmpl w:val="381AA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B163348"/>
    <w:multiLevelType w:val="hybridMultilevel"/>
    <w:tmpl w:val="288CCA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5C090D91"/>
    <w:multiLevelType w:val="hybridMultilevel"/>
    <w:tmpl w:val="3BC8E8B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nsid w:val="62F052B6"/>
    <w:multiLevelType w:val="hybridMultilevel"/>
    <w:tmpl w:val="268C3D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3980AEB"/>
    <w:multiLevelType w:val="hybridMultilevel"/>
    <w:tmpl w:val="316C8528"/>
    <w:lvl w:ilvl="0" w:tplc="F040599A">
      <w:start w:val="1"/>
      <w:numFmt w:val="bullet"/>
      <w:lvlText w:val="•"/>
      <w:lvlJc w:val="left"/>
      <w:pPr>
        <w:tabs>
          <w:tab w:val="num" w:pos="360"/>
        </w:tabs>
        <w:ind w:left="36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3FE4B59"/>
    <w:multiLevelType w:val="hybridMultilevel"/>
    <w:tmpl w:val="E41CCA54"/>
    <w:lvl w:ilvl="0" w:tplc="2EDE851C">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7A32DE4"/>
    <w:multiLevelType w:val="hybridMultilevel"/>
    <w:tmpl w:val="B5D42AD0"/>
    <w:lvl w:ilvl="0" w:tplc="32F8A7CC">
      <w:numFmt w:val="bullet"/>
      <w:lvlText w:val="•"/>
      <w:lvlJc w:val="left"/>
      <w:pPr>
        <w:ind w:left="360" w:hanging="720"/>
      </w:pPr>
      <w:rPr>
        <w:rFonts w:ascii="Calibri" w:eastAsiaTheme="minorEastAsia" w:hAnsi="Calibri" w:cstheme="minorBidi"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40">
    <w:nsid w:val="6B5024E4"/>
    <w:multiLevelType w:val="hybridMultilevel"/>
    <w:tmpl w:val="E16217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6E627978"/>
    <w:multiLevelType w:val="hybridMultilevel"/>
    <w:tmpl w:val="B210B91C"/>
    <w:lvl w:ilvl="0" w:tplc="9BF81C8E">
      <w:start w:val="1"/>
      <w:numFmt w:val="upperLetter"/>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71367642"/>
    <w:multiLevelType w:val="hybridMultilevel"/>
    <w:tmpl w:val="46B84D2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nsid w:val="71A35B42"/>
    <w:multiLevelType w:val="hybridMultilevel"/>
    <w:tmpl w:val="5B483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2707AC9"/>
    <w:multiLevelType w:val="hybridMultilevel"/>
    <w:tmpl w:val="9C9ED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2740EA1"/>
    <w:multiLevelType w:val="hybridMultilevel"/>
    <w:tmpl w:val="E8B29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A9B632A"/>
    <w:multiLevelType w:val="hybridMultilevel"/>
    <w:tmpl w:val="0F20AC40"/>
    <w:lvl w:ilvl="0" w:tplc="EECEFAAA">
      <w:start w:val="1"/>
      <w:numFmt w:val="upperLetter"/>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nsid w:val="7AED29AA"/>
    <w:multiLevelType w:val="hybridMultilevel"/>
    <w:tmpl w:val="3774B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44"/>
  </w:num>
  <w:num w:numId="3">
    <w:abstractNumId w:val="47"/>
  </w:num>
  <w:num w:numId="4">
    <w:abstractNumId w:val="38"/>
  </w:num>
  <w:num w:numId="5">
    <w:abstractNumId w:val="6"/>
  </w:num>
  <w:num w:numId="6">
    <w:abstractNumId w:val="31"/>
  </w:num>
  <w:num w:numId="7">
    <w:abstractNumId w:val="39"/>
  </w:num>
  <w:num w:numId="8">
    <w:abstractNumId w:val="2"/>
  </w:num>
  <w:num w:numId="9">
    <w:abstractNumId w:val="0"/>
  </w:num>
  <w:num w:numId="10">
    <w:abstractNumId w:val="14"/>
  </w:num>
  <w:num w:numId="11">
    <w:abstractNumId w:val="25"/>
  </w:num>
  <w:num w:numId="12">
    <w:abstractNumId w:val="20"/>
  </w:num>
  <w:num w:numId="13">
    <w:abstractNumId w:val="37"/>
  </w:num>
  <w:num w:numId="14">
    <w:abstractNumId w:val="9"/>
  </w:num>
  <w:num w:numId="15">
    <w:abstractNumId w:val="7"/>
  </w:num>
  <w:num w:numId="16">
    <w:abstractNumId w:val="16"/>
  </w:num>
  <w:num w:numId="17">
    <w:abstractNumId w:val="33"/>
  </w:num>
  <w:num w:numId="18">
    <w:abstractNumId w:val="34"/>
  </w:num>
  <w:num w:numId="19">
    <w:abstractNumId w:val="36"/>
  </w:num>
  <w:num w:numId="20">
    <w:abstractNumId w:val="1"/>
  </w:num>
  <w:num w:numId="21">
    <w:abstractNumId w:val="43"/>
  </w:num>
  <w:num w:numId="22">
    <w:abstractNumId w:val="40"/>
  </w:num>
  <w:num w:numId="23">
    <w:abstractNumId w:val="18"/>
  </w:num>
  <w:num w:numId="24">
    <w:abstractNumId w:val="35"/>
  </w:num>
  <w:num w:numId="25">
    <w:abstractNumId w:val="8"/>
  </w:num>
  <w:num w:numId="26">
    <w:abstractNumId w:val="4"/>
  </w:num>
  <w:num w:numId="27">
    <w:abstractNumId w:val="42"/>
  </w:num>
  <w:num w:numId="28">
    <w:abstractNumId w:val="11"/>
  </w:num>
  <w:num w:numId="29">
    <w:abstractNumId w:val="22"/>
  </w:num>
  <w:num w:numId="30">
    <w:abstractNumId w:val="5"/>
  </w:num>
  <w:num w:numId="31">
    <w:abstractNumId w:val="10"/>
  </w:num>
  <w:num w:numId="32">
    <w:abstractNumId w:val="26"/>
  </w:num>
  <w:num w:numId="33">
    <w:abstractNumId w:val="3"/>
  </w:num>
  <w:num w:numId="34">
    <w:abstractNumId w:val="41"/>
  </w:num>
  <w:num w:numId="35">
    <w:abstractNumId w:val="46"/>
  </w:num>
  <w:num w:numId="36">
    <w:abstractNumId w:val="24"/>
  </w:num>
  <w:num w:numId="37">
    <w:abstractNumId w:val="30"/>
  </w:num>
  <w:num w:numId="38">
    <w:abstractNumId w:val="28"/>
  </w:num>
  <w:num w:numId="39">
    <w:abstractNumId w:val="29"/>
  </w:num>
  <w:num w:numId="40">
    <w:abstractNumId w:val="45"/>
  </w:num>
  <w:num w:numId="41">
    <w:abstractNumId w:val="15"/>
  </w:num>
  <w:num w:numId="42">
    <w:abstractNumId w:val="23"/>
  </w:num>
  <w:num w:numId="43">
    <w:abstractNumId w:val="27"/>
  </w:num>
  <w:num w:numId="44">
    <w:abstractNumId w:val="17"/>
  </w:num>
  <w:num w:numId="45">
    <w:abstractNumId w:val="13"/>
  </w:num>
  <w:num w:numId="46">
    <w:abstractNumId w:val="21"/>
  </w:num>
  <w:num w:numId="47">
    <w:abstractNumId w:val="32"/>
  </w:num>
  <w:num w:numId="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hyphenationZone w:val="425"/>
  <w:evenAndOddHeaders/>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ourceLng" w:val="eng"/>
    <w:docVar w:name="TargetLng" w:val="fra"/>
    <w:docVar w:name="TermBases" w:val="SPCTerm"/>
    <w:docVar w:name="TermBaseURL" w:val="empty"/>
    <w:docVar w:name="TextBases" w:val="172.18.22.92\TextBase TMs\CPS\CPS - Affaires internes|172.18.22.92\TextBase TMs\CPS\CPS - Circulaires et annonces de réunion|172.18.22.92\TextBase TMs\CPS\CPS - Documents fondateurs|172.18.22.92\TextBase TMs\CPS\CPS - Plans, cadres et stratégies|172.18.22.92\TextBase TMs\CPS\CPS - Politiques et règlements|172.18.22.92\TextBase TMs\CPS\CPS - Recrutement|172.18.22.92\TextBase TMs\CRGA\CRGA - Budget|172.18.22.92\TextBase TMs\CRGA\CRGA - Conférence|172.18.22.92\TextBase TMs\CRGA\CRGA - Documents|172.18.22.92\TextBase TMs\PROJETS\PROJET - Fonds Pacifique|172.18.22.92\TextBase TMs\PROJETS\PROJET - Integre et Resccue|172.18.22.92\TextBase TMs\PROJETS\PROJET - Protege|172.18.22.92\TextBase TMs\REFERENCES OI\REF OI - Documents de référence|172.18.22.92\TextBase TMs\REFERENCES OI\REF OI - Jiamcatt et glossaires|172.18.22.92\TextBase TMs\TEMPORAIRES\TEMP - CRGA|172.18.22.92\TextBase TMs\TEMPORAIRES\TEMP - TRAD AUTO|172.18.22.92\TextBase TMs\THEMATIQUES et CONF TECHNIQUES\TECH - Agriculture|172.18.22.92\TextBase TMs\THEMATIQUES et CONF TECHNIQUES\TECH - Agriculture - CONF|172.18.22.92\TextBase TMs\THEMATIQUES et CONF TECHNIQUES\TECH - Climat et environnement|172.18.22.92\TextBase TMs\THEMATIQUES et CONF TECHNIQUES\TECH - Climat et environnement - CONF|172.18.22.92\TextBase TMs\THEMATIQUES et CONF TECHNIQUES\TECH - Développement humain|172.18.22.92\TextBase TMs\THEMATIQUES et CONF TECHNIQUES\TECH - Développement humain - CONF|172.18.22.92\TextBase TMs\THEMATIQUES et CONF TECHNIQUES\TECH - Économie, énergie et transports|172.18.22.92\TextBase TMs\THEMATIQUES et CONF TECHNIQUES\TECH - Géosciences|172.18.22.92\TextBase TMs\THEMATIQUES et CONF TECHNIQUES\TECH - Géosciences - CONF|172.18.22.92\TextBase TMs\THEMATIQUES et CONF TECHNIQUES\TECH - Pêche et aquaculture|172.18.22.92\TextBase TMs\THEMATIQUES et CONF TECHNIQUES\TECH - Pêche et aquaculture - CONF|172.18.22.92\TextBase TMs\THEMATIQUES et CONF TECHNIQUES\TECH - Santé - CONF|172.18.22.92\TextBase TMs\THEMATIQUES et CONF TECHNIQUES\TECH - Statistique|172.18.22.92\TextBase TMs\THEMATIQUES et CONF TECHNIQUES\TECH - Statistique - CONF|172.18.22.92\TextBase TMs\THEMATIQUES et CONF TECHNIQUES\TECH - Technologies - CONF|172.18.22.92\TextBase TMs\CLIENTS EXTERNES|172.18.22.92\TextBase TMs\COMMUNICATION|172.18.22.92\TextBase TMs\LEXIQUES|172.18.22.92\TextBase TMs\CRGA\CRGA - Sous-comités|172.18.22.92\TextBase TMs\THEMATIQUES et CONF TECHNIQUES\TECH - Technologies|172.18.22.92\TextBase TMs\THEMATIQUES et CONF TECHNIQUES\TECH - Économie, énergie et transports - CONF|172.18.22.92\TextBase TMs\THEMATIQUES et CONF TECHNIQUES\TECH - Santé|172.18.22.92\TextBase TMs\CPS\CPS - Affaires internes|172.18.22.92\TextBase TMs\CPS\CPS - Circulaires et annonces de réunion|172.18.22.92\TextBase TMs\CPS\CPS - Documents fondateurs|172.18.22.92\TextBase TMs\CPS\CPS - Plans, cadres et stratégies|172.18.22.92\TextBase TMs\CPS\CPS - Politiques et règlements|172.18.22.92\TextBase TMs\CPS\CPS - Recrutement|172.18.22.92\TextBase TMs\CRGA\CRGA - Budget|172.18.22.92\TextBase TMs\CRGA\CRGA - Conférence|172.18.22.92\TextBase TMs\CRGA\CRGA - Documents|172.18.22.92\TextBase TMs\CRGA\CRGA - Sous-comités|172.18.22.92\TextBase TMs\PROJETS\PROJET - Fonds Pacifique|172.18.22.92\TextBase TMs\PROJETS\PROJET - Integre et Resccue|172.18.22.92\TextBase TMs\PROJETS\PROJET - Protege|172.18.22.92\TextBase TMs\REFERENCES OI\REF OI - Documents de référence|172.18.22.92\TextBase TMs\REFERENCES OI\REF OI - Jiamcatt et glossaires|172.18.22.92\TextBase TMs\TEMPORAIRES\TEMP - CRGA|172.18.22.92\TextBase TMs\TEMPORAIRES\TEMP - TRAD AUTO|172.18.22.92\TextBase TMs\THEMATIQUES et CONF TECHNIQUES\TECH - Agriculture|172.18.22.92\TextBase TMs\THEMATIQUES et CONF TECHNIQUES\TECH - Agriculture - CONF|172.18.22.92\TextBase TMs\THEMATIQUES et CONF TECHNIQUES\TECH - Climat et environnement|172.18.22.92\TextBase TMs\THEMATIQUES et CONF TECHNIQUES\TECH - Climat et environnement - CONF|172.18.22.92\TextBase TMs\THEMATIQUES et CONF TECHNIQUES\TECH - Développement humain|172.18.22.92\TextBase TMs\THEMATIQUES et CONF TECHNIQUES\TECH - Développement humain - CONF|172.18.22.92\TextBase TMs\THEMATIQUES et CONF TECHNIQUES\TECH - Économie, énergie et transports|172.18.22.92\TextBase TMs\THEMATIQUES et CONF TECHNIQUES\TECH - Économie, énergie et transports - CONF|172.18.22.92\TextBase TMs\THEMATIQUES et CONF TECHNIQUES\TECH - Géosciences|172.18.22.92\TextBase TMs\THEMATIQUES et CONF TECHNIQUES\TECH - Géosciences - CONF|172.18.22.92\TextBase TMs\THEMATIQUES et CONF TECHNIQUES\TECH - Pêche et aquaculture|172.18.22.92\TextBase TMs\THEMATIQUES et CONF TECHNIQUES\TECH - Pêche et aquaculture - CONF|172.18.22.92\TextBase TMs\THEMATIQUES et CONF TECHNIQUES\TECH - Santé|172.18.22.92\TextBase TMs\THEMATIQUES et CONF TECHNIQUES\TECH - Santé - CONF|172.18.22.92\TextBase TMs\THEMATIQUES et CONF TECHNIQUES\TECH - Statistique|172.18.22.92\TextBase TMs\THEMATIQUES et CONF TECHNIQUES\TECH - Statistique - CONF|172.18.22.92\TextBase TMs\THEMATIQUES et CONF TECHNIQUES\TECH - Technologies|172.18.22.92\TextBase TMs\THEMATIQUES et CONF TECHNIQUES\TECH - Technologies - CONF|172.18.22.92\TextBase TMs\CLIENTS EXTERNES|172.18.22.92\TextBase TMs\COMMUNICATION|172.18.22.92\TextBase TMs\LEXIQUES"/>
    <w:docVar w:name="TextBaseURL" w:val="empty"/>
    <w:docVar w:name="UILng" w:val="en"/>
  </w:docVars>
  <w:rsids>
    <w:rsidRoot w:val="000B22EA"/>
    <w:rsid w:val="000006A6"/>
    <w:rsid w:val="00001BED"/>
    <w:rsid w:val="000028D0"/>
    <w:rsid w:val="000035A9"/>
    <w:rsid w:val="00005284"/>
    <w:rsid w:val="000076BA"/>
    <w:rsid w:val="00011807"/>
    <w:rsid w:val="00014C54"/>
    <w:rsid w:val="00021180"/>
    <w:rsid w:val="000212BC"/>
    <w:rsid w:val="00021611"/>
    <w:rsid w:val="0002474C"/>
    <w:rsid w:val="00031DED"/>
    <w:rsid w:val="000330E5"/>
    <w:rsid w:val="000357A1"/>
    <w:rsid w:val="000434A2"/>
    <w:rsid w:val="0004524D"/>
    <w:rsid w:val="00046AD8"/>
    <w:rsid w:val="0004739D"/>
    <w:rsid w:val="00051326"/>
    <w:rsid w:val="000517AC"/>
    <w:rsid w:val="00053881"/>
    <w:rsid w:val="00053FDA"/>
    <w:rsid w:val="000548CC"/>
    <w:rsid w:val="00056873"/>
    <w:rsid w:val="0005758A"/>
    <w:rsid w:val="00057746"/>
    <w:rsid w:val="00060597"/>
    <w:rsid w:val="000609B3"/>
    <w:rsid w:val="000622A3"/>
    <w:rsid w:val="0006351E"/>
    <w:rsid w:val="00063FDB"/>
    <w:rsid w:val="000646B3"/>
    <w:rsid w:val="00065A23"/>
    <w:rsid w:val="00070C77"/>
    <w:rsid w:val="0007106D"/>
    <w:rsid w:val="00072074"/>
    <w:rsid w:val="0007551E"/>
    <w:rsid w:val="00075B2E"/>
    <w:rsid w:val="00080A86"/>
    <w:rsid w:val="00080E73"/>
    <w:rsid w:val="00081EEF"/>
    <w:rsid w:val="00082493"/>
    <w:rsid w:val="00085516"/>
    <w:rsid w:val="0008603A"/>
    <w:rsid w:val="000865E3"/>
    <w:rsid w:val="00090851"/>
    <w:rsid w:val="00091380"/>
    <w:rsid w:val="00091DC6"/>
    <w:rsid w:val="000940E0"/>
    <w:rsid w:val="00094EF5"/>
    <w:rsid w:val="0009537E"/>
    <w:rsid w:val="000957E1"/>
    <w:rsid w:val="00096069"/>
    <w:rsid w:val="000964EF"/>
    <w:rsid w:val="000A1838"/>
    <w:rsid w:val="000A1A88"/>
    <w:rsid w:val="000A3107"/>
    <w:rsid w:val="000A4CC5"/>
    <w:rsid w:val="000A6500"/>
    <w:rsid w:val="000A7661"/>
    <w:rsid w:val="000B076C"/>
    <w:rsid w:val="000B07B4"/>
    <w:rsid w:val="000B22EA"/>
    <w:rsid w:val="000B2BA4"/>
    <w:rsid w:val="000B3376"/>
    <w:rsid w:val="000B5A59"/>
    <w:rsid w:val="000B683B"/>
    <w:rsid w:val="000C441F"/>
    <w:rsid w:val="000C617B"/>
    <w:rsid w:val="000C6336"/>
    <w:rsid w:val="000C7FA4"/>
    <w:rsid w:val="000D032C"/>
    <w:rsid w:val="000D28B0"/>
    <w:rsid w:val="000D4B86"/>
    <w:rsid w:val="000D631C"/>
    <w:rsid w:val="000D70E9"/>
    <w:rsid w:val="000E0FE6"/>
    <w:rsid w:val="000E19CD"/>
    <w:rsid w:val="000E5212"/>
    <w:rsid w:val="000E6C33"/>
    <w:rsid w:val="000F0A55"/>
    <w:rsid w:val="000F17EA"/>
    <w:rsid w:val="000F34F6"/>
    <w:rsid w:val="000F5EF1"/>
    <w:rsid w:val="000F62F0"/>
    <w:rsid w:val="00101BD7"/>
    <w:rsid w:val="001053FB"/>
    <w:rsid w:val="0010585B"/>
    <w:rsid w:val="0010770D"/>
    <w:rsid w:val="00113B6E"/>
    <w:rsid w:val="00114B13"/>
    <w:rsid w:val="001214F0"/>
    <w:rsid w:val="001218CE"/>
    <w:rsid w:val="00124E49"/>
    <w:rsid w:val="00126794"/>
    <w:rsid w:val="00126D12"/>
    <w:rsid w:val="00131A9E"/>
    <w:rsid w:val="00144E92"/>
    <w:rsid w:val="001478F5"/>
    <w:rsid w:val="00147EC4"/>
    <w:rsid w:val="00150E8C"/>
    <w:rsid w:val="00152E28"/>
    <w:rsid w:val="00154857"/>
    <w:rsid w:val="001549B8"/>
    <w:rsid w:val="0015752E"/>
    <w:rsid w:val="001645ED"/>
    <w:rsid w:val="00165FE9"/>
    <w:rsid w:val="001660FA"/>
    <w:rsid w:val="00166CD2"/>
    <w:rsid w:val="00166F39"/>
    <w:rsid w:val="00167E30"/>
    <w:rsid w:val="00170ADA"/>
    <w:rsid w:val="00172B5F"/>
    <w:rsid w:val="00173C3D"/>
    <w:rsid w:val="001775FD"/>
    <w:rsid w:val="00180CB4"/>
    <w:rsid w:val="00181925"/>
    <w:rsid w:val="00184CD0"/>
    <w:rsid w:val="001860E4"/>
    <w:rsid w:val="00191954"/>
    <w:rsid w:val="00192CD9"/>
    <w:rsid w:val="00195526"/>
    <w:rsid w:val="001A068D"/>
    <w:rsid w:val="001A0F5F"/>
    <w:rsid w:val="001A18B9"/>
    <w:rsid w:val="001A2492"/>
    <w:rsid w:val="001A59F7"/>
    <w:rsid w:val="001B16DF"/>
    <w:rsid w:val="001B2385"/>
    <w:rsid w:val="001B53A5"/>
    <w:rsid w:val="001B595B"/>
    <w:rsid w:val="001B7F55"/>
    <w:rsid w:val="001C034B"/>
    <w:rsid w:val="001C1778"/>
    <w:rsid w:val="001C26B3"/>
    <w:rsid w:val="001C37CE"/>
    <w:rsid w:val="001C38F8"/>
    <w:rsid w:val="001C77D5"/>
    <w:rsid w:val="001D66CD"/>
    <w:rsid w:val="001E295E"/>
    <w:rsid w:val="001E2E4F"/>
    <w:rsid w:val="001E46F5"/>
    <w:rsid w:val="001E4A38"/>
    <w:rsid w:val="001E5B60"/>
    <w:rsid w:val="001E7147"/>
    <w:rsid w:val="001F1D88"/>
    <w:rsid w:val="001F3354"/>
    <w:rsid w:val="001F39F0"/>
    <w:rsid w:val="001F60DB"/>
    <w:rsid w:val="001F6C62"/>
    <w:rsid w:val="001F7017"/>
    <w:rsid w:val="002007E7"/>
    <w:rsid w:val="00200CDC"/>
    <w:rsid w:val="002109B9"/>
    <w:rsid w:val="00211607"/>
    <w:rsid w:val="00215A87"/>
    <w:rsid w:val="00216786"/>
    <w:rsid w:val="002172BD"/>
    <w:rsid w:val="00220E92"/>
    <w:rsid w:val="00221229"/>
    <w:rsid w:val="00221708"/>
    <w:rsid w:val="0022338A"/>
    <w:rsid w:val="00223E04"/>
    <w:rsid w:val="00223F11"/>
    <w:rsid w:val="00226E91"/>
    <w:rsid w:val="0022780C"/>
    <w:rsid w:val="00232B56"/>
    <w:rsid w:val="00232F47"/>
    <w:rsid w:val="0023352A"/>
    <w:rsid w:val="00233644"/>
    <w:rsid w:val="00236001"/>
    <w:rsid w:val="002421A8"/>
    <w:rsid w:val="00246F54"/>
    <w:rsid w:val="00251BFF"/>
    <w:rsid w:val="002564F0"/>
    <w:rsid w:val="00257D05"/>
    <w:rsid w:val="00260F9A"/>
    <w:rsid w:val="00262450"/>
    <w:rsid w:val="00262AEA"/>
    <w:rsid w:val="00265C4C"/>
    <w:rsid w:val="00266110"/>
    <w:rsid w:val="0026656D"/>
    <w:rsid w:val="00267431"/>
    <w:rsid w:val="002677B3"/>
    <w:rsid w:val="00271E93"/>
    <w:rsid w:val="0027335F"/>
    <w:rsid w:val="00274684"/>
    <w:rsid w:val="00274FBF"/>
    <w:rsid w:val="00275836"/>
    <w:rsid w:val="0027646C"/>
    <w:rsid w:val="00276BC2"/>
    <w:rsid w:val="00281C02"/>
    <w:rsid w:val="00283F3D"/>
    <w:rsid w:val="002840E5"/>
    <w:rsid w:val="00286272"/>
    <w:rsid w:val="00286473"/>
    <w:rsid w:val="00287C2C"/>
    <w:rsid w:val="00290DA3"/>
    <w:rsid w:val="00291038"/>
    <w:rsid w:val="002916EE"/>
    <w:rsid w:val="002A0B3B"/>
    <w:rsid w:val="002A22F9"/>
    <w:rsid w:val="002A4004"/>
    <w:rsid w:val="002A4128"/>
    <w:rsid w:val="002A568C"/>
    <w:rsid w:val="002A5D02"/>
    <w:rsid w:val="002A6F1B"/>
    <w:rsid w:val="002B4367"/>
    <w:rsid w:val="002B4B36"/>
    <w:rsid w:val="002B643D"/>
    <w:rsid w:val="002B6ECD"/>
    <w:rsid w:val="002C24B4"/>
    <w:rsid w:val="002C32BC"/>
    <w:rsid w:val="002C3856"/>
    <w:rsid w:val="002C47A5"/>
    <w:rsid w:val="002C5CEB"/>
    <w:rsid w:val="002D04EA"/>
    <w:rsid w:val="002D3389"/>
    <w:rsid w:val="002D4A80"/>
    <w:rsid w:val="002D6F7A"/>
    <w:rsid w:val="002D7683"/>
    <w:rsid w:val="002F1038"/>
    <w:rsid w:val="002F24BA"/>
    <w:rsid w:val="002F267B"/>
    <w:rsid w:val="002F3C26"/>
    <w:rsid w:val="002F6B1B"/>
    <w:rsid w:val="00303F03"/>
    <w:rsid w:val="00304AD7"/>
    <w:rsid w:val="00311BAE"/>
    <w:rsid w:val="003160F4"/>
    <w:rsid w:val="00320BF8"/>
    <w:rsid w:val="00321839"/>
    <w:rsid w:val="00321B6E"/>
    <w:rsid w:val="003262C1"/>
    <w:rsid w:val="0032670A"/>
    <w:rsid w:val="003307C6"/>
    <w:rsid w:val="003318EA"/>
    <w:rsid w:val="003321CF"/>
    <w:rsid w:val="00332BF4"/>
    <w:rsid w:val="00333DE1"/>
    <w:rsid w:val="00337A2B"/>
    <w:rsid w:val="00341DFC"/>
    <w:rsid w:val="003437FC"/>
    <w:rsid w:val="0034453B"/>
    <w:rsid w:val="00345E46"/>
    <w:rsid w:val="00347141"/>
    <w:rsid w:val="00347D57"/>
    <w:rsid w:val="00352346"/>
    <w:rsid w:val="003524DF"/>
    <w:rsid w:val="00352844"/>
    <w:rsid w:val="00361301"/>
    <w:rsid w:val="00361D92"/>
    <w:rsid w:val="00363999"/>
    <w:rsid w:val="00363B5A"/>
    <w:rsid w:val="003647B9"/>
    <w:rsid w:val="003712E1"/>
    <w:rsid w:val="0037231D"/>
    <w:rsid w:val="00373184"/>
    <w:rsid w:val="00373585"/>
    <w:rsid w:val="003741E1"/>
    <w:rsid w:val="0037460D"/>
    <w:rsid w:val="003807B4"/>
    <w:rsid w:val="003848C6"/>
    <w:rsid w:val="00391C32"/>
    <w:rsid w:val="00392AEA"/>
    <w:rsid w:val="003977B0"/>
    <w:rsid w:val="003A18F3"/>
    <w:rsid w:val="003A2E7C"/>
    <w:rsid w:val="003A7A3E"/>
    <w:rsid w:val="003B0C3B"/>
    <w:rsid w:val="003B1AF4"/>
    <w:rsid w:val="003B33B9"/>
    <w:rsid w:val="003B465A"/>
    <w:rsid w:val="003B603E"/>
    <w:rsid w:val="003C1B8C"/>
    <w:rsid w:val="003D00DA"/>
    <w:rsid w:val="003D0494"/>
    <w:rsid w:val="003D35A8"/>
    <w:rsid w:val="003D594F"/>
    <w:rsid w:val="003E5359"/>
    <w:rsid w:val="003E56CD"/>
    <w:rsid w:val="003E661C"/>
    <w:rsid w:val="003F00A6"/>
    <w:rsid w:val="003F13A5"/>
    <w:rsid w:val="003F1F6A"/>
    <w:rsid w:val="003F2507"/>
    <w:rsid w:val="003F2CED"/>
    <w:rsid w:val="003F47B4"/>
    <w:rsid w:val="003F782D"/>
    <w:rsid w:val="00403B84"/>
    <w:rsid w:val="0040421F"/>
    <w:rsid w:val="004048F0"/>
    <w:rsid w:val="00405361"/>
    <w:rsid w:val="00412625"/>
    <w:rsid w:val="00413521"/>
    <w:rsid w:val="00417F96"/>
    <w:rsid w:val="004219BE"/>
    <w:rsid w:val="00422252"/>
    <w:rsid w:val="00424479"/>
    <w:rsid w:val="00424E69"/>
    <w:rsid w:val="0042566A"/>
    <w:rsid w:val="0042627B"/>
    <w:rsid w:val="00433A6F"/>
    <w:rsid w:val="00434873"/>
    <w:rsid w:val="00436C80"/>
    <w:rsid w:val="00440011"/>
    <w:rsid w:val="0044045F"/>
    <w:rsid w:val="004438C0"/>
    <w:rsid w:val="00445D15"/>
    <w:rsid w:val="00453276"/>
    <w:rsid w:val="00453E3E"/>
    <w:rsid w:val="00457E6A"/>
    <w:rsid w:val="00461CDE"/>
    <w:rsid w:val="00462C9B"/>
    <w:rsid w:val="004657B5"/>
    <w:rsid w:val="00471432"/>
    <w:rsid w:val="004719D7"/>
    <w:rsid w:val="00474711"/>
    <w:rsid w:val="0047652F"/>
    <w:rsid w:val="004805A7"/>
    <w:rsid w:val="00481AFD"/>
    <w:rsid w:val="00482023"/>
    <w:rsid w:val="00483A00"/>
    <w:rsid w:val="00483B3A"/>
    <w:rsid w:val="004876A3"/>
    <w:rsid w:val="00487AA0"/>
    <w:rsid w:val="00492385"/>
    <w:rsid w:val="0049356C"/>
    <w:rsid w:val="00494BB4"/>
    <w:rsid w:val="00496AC7"/>
    <w:rsid w:val="004A1C60"/>
    <w:rsid w:val="004A2696"/>
    <w:rsid w:val="004A6502"/>
    <w:rsid w:val="004A6D7B"/>
    <w:rsid w:val="004B1395"/>
    <w:rsid w:val="004B1493"/>
    <w:rsid w:val="004B2143"/>
    <w:rsid w:val="004B32E7"/>
    <w:rsid w:val="004B3EA8"/>
    <w:rsid w:val="004B441F"/>
    <w:rsid w:val="004B5D52"/>
    <w:rsid w:val="004B716B"/>
    <w:rsid w:val="004B78B6"/>
    <w:rsid w:val="004B7BD3"/>
    <w:rsid w:val="004C29BA"/>
    <w:rsid w:val="004C3CA8"/>
    <w:rsid w:val="004C5D38"/>
    <w:rsid w:val="004C64E8"/>
    <w:rsid w:val="004D43AC"/>
    <w:rsid w:val="004D57E5"/>
    <w:rsid w:val="004D64F5"/>
    <w:rsid w:val="004E0035"/>
    <w:rsid w:val="004E05DF"/>
    <w:rsid w:val="004E0DBC"/>
    <w:rsid w:val="004E1B5C"/>
    <w:rsid w:val="004E2FAB"/>
    <w:rsid w:val="004E3792"/>
    <w:rsid w:val="004E4609"/>
    <w:rsid w:val="004E480B"/>
    <w:rsid w:val="004E4A10"/>
    <w:rsid w:val="004E4A66"/>
    <w:rsid w:val="004E4B10"/>
    <w:rsid w:val="004F21AA"/>
    <w:rsid w:val="004F2B0F"/>
    <w:rsid w:val="0050422B"/>
    <w:rsid w:val="0050591B"/>
    <w:rsid w:val="00516E7B"/>
    <w:rsid w:val="00523403"/>
    <w:rsid w:val="005256E9"/>
    <w:rsid w:val="00533B65"/>
    <w:rsid w:val="00534DFF"/>
    <w:rsid w:val="00544620"/>
    <w:rsid w:val="00550C84"/>
    <w:rsid w:val="00551A4B"/>
    <w:rsid w:val="00552611"/>
    <w:rsid w:val="00552A13"/>
    <w:rsid w:val="00553C39"/>
    <w:rsid w:val="00554C75"/>
    <w:rsid w:val="00556CF2"/>
    <w:rsid w:val="00560443"/>
    <w:rsid w:val="00560E73"/>
    <w:rsid w:val="00563600"/>
    <w:rsid w:val="00564AEE"/>
    <w:rsid w:val="00567814"/>
    <w:rsid w:val="005705BF"/>
    <w:rsid w:val="00570CCF"/>
    <w:rsid w:val="00573F62"/>
    <w:rsid w:val="00576E43"/>
    <w:rsid w:val="00581A40"/>
    <w:rsid w:val="00583853"/>
    <w:rsid w:val="0058504B"/>
    <w:rsid w:val="00585DBE"/>
    <w:rsid w:val="0058665E"/>
    <w:rsid w:val="00587D82"/>
    <w:rsid w:val="00591748"/>
    <w:rsid w:val="00593BFB"/>
    <w:rsid w:val="005A1E01"/>
    <w:rsid w:val="005A32B9"/>
    <w:rsid w:val="005A4E0C"/>
    <w:rsid w:val="005A6E4E"/>
    <w:rsid w:val="005B05E5"/>
    <w:rsid w:val="005B164A"/>
    <w:rsid w:val="005B46C8"/>
    <w:rsid w:val="005C00F0"/>
    <w:rsid w:val="005C07C8"/>
    <w:rsid w:val="005C0EA0"/>
    <w:rsid w:val="005C32C7"/>
    <w:rsid w:val="005C3627"/>
    <w:rsid w:val="005C7BFC"/>
    <w:rsid w:val="005D0A39"/>
    <w:rsid w:val="005D2ADF"/>
    <w:rsid w:val="005D3420"/>
    <w:rsid w:val="005D4E10"/>
    <w:rsid w:val="005D6DD8"/>
    <w:rsid w:val="005D7D58"/>
    <w:rsid w:val="005E08CF"/>
    <w:rsid w:val="005E0B40"/>
    <w:rsid w:val="005E1A28"/>
    <w:rsid w:val="005F27E5"/>
    <w:rsid w:val="005F3FFE"/>
    <w:rsid w:val="005F425E"/>
    <w:rsid w:val="005F4720"/>
    <w:rsid w:val="005F5044"/>
    <w:rsid w:val="005F69E0"/>
    <w:rsid w:val="00600155"/>
    <w:rsid w:val="00602E76"/>
    <w:rsid w:val="00603EAE"/>
    <w:rsid w:val="0060400F"/>
    <w:rsid w:val="0060482D"/>
    <w:rsid w:val="00605237"/>
    <w:rsid w:val="00605E6C"/>
    <w:rsid w:val="0060609D"/>
    <w:rsid w:val="0060633D"/>
    <w:rsid w:val="0060634A"/>
    <w:rsid w:val="006072DF"/>
    <w:rsid w:val="00610BF7"/>
    <w:rsid w:val="006116D8"/>
    <w:rsid w:val="00615DD2"/>
    <w:rsid w:val="00617D2F"/>
    <w:rsid w:val="006225EE"/>
    <w:rsid w:val="006259B0"/>
    <w:rsid w:val="00626A0B"/>
    <w:rsid w:val="0063532E"/>
    <w:rsid w:val="00641206"/>
    <w:rsid w:val="006445F7"/>
    <w:rsid w:val="00644C3A"/>
    <w:rsid w:val="006457B3"/>
    <w:rsid w:val="0065404F"/>
    <w:rsid w:val="006566E9"/>
    <w:rsid w:val="00660A12"/>
    <w:rsid w:val="006611E7"/>
    <w:rsid w:val="006639F5"/>
    <w:rsid w:val="00663B51"/>
    <w:rsid w:val="00663C59"/>
    <w:rsid w:val="006641E9"/>
    <w:rsid w:val="00665976"/>
    <w:rsid w:val="00666CCB"/>
    <w:rsid w:val="00667CD3"/>
    <w:rsid w:val="0067309D"/>
    <w:rsid w:val="00676860"/>
    <w:rsid w:val="00677EC7"/>
    <w:rsid w:val="00677F4D"/>
    <w:rsid w:val="00680679"/>
    <w:rsid w:val="00681FAD"/>
    <w:rsid w:val="006840E1"/>
    <w:rsid w:val="00685291"/>
    <w:rsid w:val="00690A79"/>
    <w:rsid w:val="00693E06"/>
    <w:rsid w:val="00695A5C"/>
    <w:rsid w:val="00697712"/>
    <w:rsid w:val="006A1B0C"/>
    <w:rsid w:val="006A548B"/>
    <w:rsid w:val="006A6523"/>
    <w:rsid w:val="006A6B56"/>
    <w:rsid w:val="006B1200"/>
    <w:rsid w:val="006B23B6"/>
    <w:rsid w:val="006B47AA"/>
    <w:rsid w:val="006B4CDF"/>
    <w:rsid w:val="006B5665"/>
    <w:rsid w:val="006B7275"/>
    <w:rsid w:val="006B775B"/>
    <w:rsid w:val="006C045E"/>
    <w:rsid w:val="006C0571"/>
    <w:rsid w:val="006C4067"/>
    <w:rsid w:val="006C6039"/>
    <w:rsid w:val="006C7BAE"/>
    <w:rsid w:val="006D1795"/>
    <w:rsid w:val="006D6221"/>
    <w:rsid w:val="006D6440"/>
    <w:rsid w:val="006E21E8"/>
    <w:rsid w:val="006E2BB8"/>
    <w:rsid w:val="006E2E07"/>
    <w:rsid w:val="006E2FE4"/>
    <w:rsid w:val="006E5BF7"/>
    <w:rsid w:val="006E6AD9"/>
    <w:rsid w:val="006E7CE0"/>
    <w:rsid w:val="006F105F"/>
    <w:rsid w:val="006F45CE"/>
    <w:rsid w:val="006F49C8"/>
    <w:rsid w:val="00701FB5"/>
    <w:rsid w:val="007043FD"/>
    <w:rsid w:val="00705591"/>
    <w:rsid w:val="00705EF1"/>
    <w:rsid w:val="00713B9E"/>
    <w:rsid w:val="00717161"/>
    <w:rsid w:val="00720366"/>
    <w:rsid w:val="007205E4"/>
    <w:rsid w:val="00725401"/>
    <w:rsid w:val="00725C78"/>
    <w:rsid w:val="007277D6"/>
    <w:rsid w:val="007319B0"/>
    <w:rsid w:val="00733B6D"/>
    <w:rsid w:val="0074074F"/>
    <w:rsid w:val="007412DF"/>
    <w:rsid w:val="007418C1"/>
    <w:rsid w:val="00741F24"/>
    <w:rsid w:val="00743918"/>
    <w:rsid w:val="007450BD"/>
    <w:rsid w:val="00746DD9"/>
    <w:rsid w:val="00750A2F"/>
    <w:rsid w:val="00750E48"/>
    <w:rsid w:val="007524AE"/>
    <w:rsid w:val="00752CA8"/>
    <w:rsid w:val="007537CE"/>
    <w:rsid w:val="00753F64"/>
    <w:rsid w:val="007547B3"/>
    <w:rsid w:val="00755F07"/>
    <w:rsid w:val="007608DB"/>
    <w:rsid w:val="0076109C"/>
    <w:rsid w:val="00761101"/>
    <w:rsid w:val="00762300"/>
    <w:rsid w:val="007638F1"/>
    <w:rsid w:val="0076562E"/>
    <w:rsid w:val="00767903"/>
    <w:rsid w:val="00767B8E"/>
    <w:rsid w:val="00767E13"/>
    <w:rsid w:val="0077280F"/>
    <w:rsid w:val="007729B2"/>
    <w:rsid w:val="00774469"/>
    <w:rsid w:val="00775CE8"/>
    <w:rsid w:val="00775D3A"/>
    <w:rsid w:val="00776FB8"/>
    <w:rsid w:val="00777BEF"/>
    <w:rsid w:val="00780219"/>
    <w:rsid w:val="0078171A"/>
    <w:rsid w:val="007855AE"/>
    <w:rsid w:val="00787504"/>
    <w:rsid w:val="00790DF6"/>
    <w:rsid w:val="00790F67"/>
    <w:rsid w:val="007932A1"/>
    <w:rsid w:val="00793CD6"/>
    <w:rsid w:val="0079439A"/>
    <w:rsid w:val="007946E1"/>
    <w:rsid w:val="00794D56"/>
    <w:rsid w:val="007950DA"/>
    <w:rsid w:val="007973E4"/>
    <w:rsid w:val="007A0399"/>
    <w:rsid w:val="007A182D"/>
    <w:rsid w:val="007A3BEC"/>
    <w:rsid w:val="007A5844"/>
    <w:rsid w:val="007A5D27"/>
    <w:rsid w:val="007A64B5"/>
    <w:rsid w:val="007B24D6"/>
    <w:rsid w:val="007B3322"/>
    <w:rsid w:val="007B3810"/>
    <w:rsid w:val="007B5411"/>
    <w:rsid w:val="007B61BD"/>
    <w:rsid w:val="007B7CE8"/>
    <w:rsid w:val="007C28BB"/>
    <w:rsid w:val="007C31CE"/>
    <w:rsid w:val="007C68DB"/>
    <w:rsid w:val="007C6B84"/>
    <w:rsid w:val="007C752D"/>
    <w:rsid w:val="007C7C30"/>
    <w:rsid w:val="007D17E9"/>
    <w:rsid w:val="007D1A9B"/>
    <w:rsid w:val="007D27C0"/>
    <w:rsid w:val="007D2F1C"/>
    <w:rsid w:val="007D309B"/>
    <w:rsid w:val="007D39E2"/>
    <w:rsid w:val="007D3A57"/>
    <w:rsid w:val="007D4D2B"/>
    <w:rsid w:val="007D50B4"/>
    <w:rsid w:val="007D5236"/>
    <w:rsid w:val="007E01EB"/>
    <w:rsid w:val="007E10A6"/>
    <w:rsid w:val="007E3425"/>
    <w:rsid w:val="007E504D"/>
    <w:rsid w:val="007E604F"/>
    <w:rsid w:val="007E6CA0"/>
    <w:rsid w:val="007F02E0"/>
    <w:rsid w:val="007F1ADA"/>
    <w:rsid w:val="007F479C"/>
    <w:rsid w:val="007F56B2"/>
    <w:rsid w:val="007F6195"/>
    <w:rsid w:val="008023DD"/>
    <w:rsid w:val="00810147"/>
    <w:rsid w:val="00812D11"/>
    <w:rsid w:val="00816680"/>
    <w:rsid w:val="00822393"/>
    <w:rsid w:val="008223FB"/>
    <w:rsid w:val="00824CF5"/>
    <w:rsid w:val="008256AD"/>
    <w:rsid w:val="00830D79"/>
    <w:rsid w:val="008314D0"/>
    <w:rsid w:val="008337B0"/>
    <w:rsid w:val="00836E7B"/>
    <w:rsid w:val="008373C1"/>
    <w:rsid w:val="0084043F"/>
    <w:rsid w:val="008425E6"/>
    <w:rsid w:val="0084471F"/>
    <w:rsid w:val="0084501E"/>
    <w:rsid w:val="00847752"/>
    <w:rsid w:val="00850418"/>
    <w:rsid w:val="008508F4"/>
    <w:rsid w:val="00850E11"/>
    <w:rsid w:val="008555A9"/>
    <w:rsid w:val="00855FAC"/>
    <w:rsid w:val="00857483"/>
    <w:rsid w:val="00860860"/>
    <w:rsid w:val="00862BDA"/>
    <w:rsid w:val="00862E56"/>
    <w:rsid w:val="00863C7D"/>
    <w:rsid w:val="00863FFB"/>
    <w:rsid w:val="00864253"/>
    <w:rsid w:val="00864CD7"/>
    <w:rsid w:val="00864FC7"/>
    <w:rsid w:val="008652EC"/>
    <w:rsid w:val="00866D1B"/>
    <w:rsid w:val="00871239"/>
    <w:rsid w:val="00872251"/>
    <w:rsid w:val="00876DEC"/>
    <w:rsid w:val="00880048"/>
    <w:rsid w:val="00884583"/>
    <w:rsid w:val="008871AB"/>
    <w:rsid w:val="00887580"/>
    <w:rsid w:val="00892CCC"/>
    <w:rsid w:val="00895A58"/>
    <w:rsid w:val="00897460"/>
    <w:rsid w:val="008A3A8C"/>
    <w:rsid w:val="008B08A5"/>
    <w:rsid w:val="008B3ABF"/>
    <w:rsid w:val="008B4118"/>
    <w:rsid w:val="008B529F"/>
    <w:rsid w:val="008C100A"/>
    <w:rsid w:val="008C60F9"/>
    <w:rsid w:val="008C6101"/>
    <w:rsid w:val="008C6B20"/>
    <w:rsid w:val="008C7627"/>
    <w:rsid w:val="008D1246"/>
    <w:rsid w:val="008D20CE"/>
    <w:rsid w:val="008D20D4"/>
    <w:rsid w:val="008D3DA5"/>
    <w:rsid w:val="008D506B"/>
    <w:rsid w:val="008D50FB"/>
    <w:rsid w:val="008D65CB"/>
    <w:rsid w:val="008D67A9"/>
    <w:rsid w:val="008D721E"/>
    <w:rsid w:val="008E0650"/>
    <w:rsid w:val="008E0E4B"/>
    <w:rsid w:val="008E201E"/>
    <w:rsid w:val="008E2CBE"/>
    <w:rsid w:val="008E35B6"/>
    <w:rsid w:val="008F0665"/>
    <w:rsid w:val="008F0FAF"/>
    <w:rsid w:val="008F3C44"/>
    <w:rsid w:val="008F5AF5"/>
    <w:rsid w:val="008F683C"/>
    <w:rsid w:val="008F68B0"/>
    <w:rsid w:val="009008FC"/>
    <w:rsid w:val="00902EE8"/>
    <w:rsid w:val="009065FC"/>
    <w:rsid w:val="00906AB8"/>
    <w:rsid w:val="00906EE6"/>
    <w:rsid w:val="0090737E"/>
    <w:rsid w:val="00907B2E"/>
    <w:rsid w:val="00912F4F"/>
    <w:rsid w:val="00913E4A"/>
    <w:rsid w:val="0092057B"/>
    <w:rsid w:val="009206E8"/>
    <w:rsid w:val="00922580"/>
    <w:rsid w:val="00923F44"/>
    <w:rsid w:val="009333BE"/>
    <w:rsid w:val="0093381D"/>
    <w:rsid w:val="00934FF4"/>
    <w:rsid w:val="00935B58"/>
    <w:rsid w:val="0094181C"/>
    <w:rsid w:val="00941A76"/>
    <w:rsid w:val="00941C5C"/>
    <w:rsid w:val="00942041"/>
    <w:rsid w:val="009424C6"/>
    <w:rsid w:val="00945B92"/>
    <w:rsid w:val="009470B1"/>
    <w:rsid w:val="00950306"/>
    <w:rsid w:val="00951054"/>
    <w:rsid w:val="00951607"/>
    <w:rsid w:val="00952F18"/>
    <w:rsid w:val="0095462D"/>
    <w:rsid w:val="00960B1E"/>
    <w:rsid w:val="0096117E"/>
    <w:rsid w:val="00961F20"/>
    <w:rsid w:val="00965DB5"/>
    <w:rsid w:val="00971C9A"/>
    <w:rsid w:val="009742D3"/>
    <w:rsid w:val="009774D3"/>
    <w:rsid w:val="0098086C"/>
    <w:rsid w:val="009809F7"/>
    <w:rsid w:val="00980C66"/>
    <w:rsid w:val="00981C6C"/>
    <w:rsid w:val="009830E0"/>
    <w:rsid w:val="00984FF7"/>
    <w:rsid w:val="0098525D"/>
    <w:rsid w:val="0098679B"/>
    <w:rsid w:val="00986AF7"/>
    <w:rsid w:val="0098717E"/>
    <w:rsid w:val="00987475"/>
    <w:rsid w:val="00992802"/>
    <w:rsid w:val="00996ECC"/>
    <w:rsid w:val="009A098F"/>
    <w:rsid w:val="009A160E"/>
    <w:rsid w:val="009A2D0B"/>
    <w:rsid w:val="009A4279"/>
    <w:rsid w:val="009A46E8"/>
    <w:rsid w:val="009A59CE"/>
    <w:rsid w:val="009B03E6"/>
    <w:rsid w:val="009B048F"/>
    <w:rsid w:val="009B1739"/>
    <w:rsid w:val="009B6945"/>
    <w:rsid w:val="009C0117"/>
    <w:rsid w:val="009C3B26"/>
    <w:rsid w:val="009C60DD"/>
    <w:rsid w:val="009C655B"/>
    <w:rsid w:val="009D0F0D"/>
    <w:rsid w:val="009D4270"/>
    <w:rsid w:val="009D6B41"/>
    <w:rsid w:val="009E0188"/>
    <w:rsid w:val="009E15A6"/>
    <w:rsid w:val="009E4CD1"/>
    <w:rsid w:val="009E64F3"/>
    <w:rsid w:val="009E71DE"/>
    <w:rsid w:val="009F0886"/>
    <w:rsid w:val="009F12CB"/>
    <w:rsid w:val="009F2764"/>
    <w:rsid w:val="009F6163"/>
    <w:rsid w:val="009F6B84"/>
    <w:rsid w:val="009F7448"/>
    <w:rsid w:val="009F7CDF"/>
    <w:rsid w:val="00A0091C"/>
    <w:rsid w:val="00A0226E"/>
    <w:rsid w:val="00A0260E"/>
    <w:rsid w:val="00A03E5D"/>
    <w:rsid w:val="00A1004D"/>
    <w:rsid w:val="00A10828"/>
    <w:rsid w:val="00A10969"/>
    <w:rsid w:val="00A115FB"/>
    <w:rsid w:val="00A11F36"/>
    <w:rsid w:val="00A17A13"/>
    <w:rsid w:val="00A222F7"/>
    <w:rsid w:val="00A2274B"/>
    <w:rsid w:val="00A22F96"/>
    <w:rsid w:val="00A232A0"/>
    <w:rsid w:val="00A247FB"/>
    <w:rsid w:val="00A2534F"/>
    <w:rsid w:val="00A26D70"/>
    <w:rsid w:val="00A27C2B"/>
    <w:rsid w:val="00A30DEA"/>
    <w:rsid w:val="00A32200"/>
    <w:rsid w:val="00A32EEE"/>
    <w:rsid w:val="00A348E1"/>
    <w:rsid w:val="00A34DDA"/>
    <w:rsid w:val="00A36D4D"/>
    <w:rsid w:val="00A3748D"/>
    <w:rsid w:val="00A4071F"/>
    <w:rsid w:val="00A4075B"/>
    <w:rsid w:val="00A45B5B"/>
    <w:rsid w:val="00A500D0"/>
    <w:rsid w:val="00A516B6"/>
    <w:rsid w:val="00A53200"/>
    <w:rsid w:val="00A53D52"/>
    <w:rsid w:val="00A53E09"/>
    <w:rsid w:val="00A54470"/>
    <w:rsid w:val="00A54F98"/>
    <w:rsid w:val="00A553B1"/>
    <w:rsid w:val="00A60719"/>
    <w:rsid w:val="00A61CAD"/>
    <w:rsid w:val="00A63B38"/>
    <w:rsid w:val="00A7119E"/>
    <w:rsid w:val="00A719A8"/>
    <w:rsid w:val="00A71E8D"/>
    <w:rsid w:val="00A72F3C"/>
    <w:rsid w:val="00A769F4"/>
    <w:rsid w:val="00A80B11"/>
    <w:rsid w:val="00A82AB2"/>
    <w:rsid w:val="00A83534"/>
    <w:rsid w:val="00A852A5"/>
    <w:rsid w:val="00A87035"/>
    <w:rsid w:val="00A8726E"/>
    <w:rsid w:val="00A901AE"/>
    <w:rsid w:val="00A90B4C"/>
    <w:rsid w:val="00A91787"/>
    <w:rsid w:val="00A91F13"/>
    <w:rsid w:val="00A927A2"/>
    <w:rsid w:val="00A92C96"/>
    <w:rsid w:val="00A9317D"/>
    <w:rsid w:val="00A9377F"/>
    <w:rsid w:val="00AA281A"/>
    <w:rsid w:val="00AA444F"/>
    <w:rsid w:val="00AA5996"/>
    <w:rsid w:val="00AA7D2A"/>
    <w:rsid w:val="00AB343A"/>
    <w:rsid w:val="00AB3AF6"/>
    <w:rsid w:val="00AB50EC"/>
    <w:rsid w:val="00AB6048"/>
    <w:rsid w:val="00AB7A37"/>
    <w:rsid w:val="00AC3E61"/>
    <w:rsid w:val="00AC4090"/>
    <w:rsid w:val="00AC65D8"/>
    <w:rsid w:val="00AD15A1"/>
    <w:rsid w:val="00AD1CEF"/>
    <w:rsid w:val="00AD4BCC"/>
    <w:rsid w:val="00AD5D11"/>
    <w:rsid w:val="00AD614C"/>
    <w:rsid w:val="00AD6E17"/>
    <w:rsid w:val="00AD7158"/>
    <w:rsid w:val="00AE064A"/>
    <w:rsid w:val="00AE0B9D"/>
    <w:rsid w:val="00AE1D25"/>
    <w:rsid w:val="00AE2073"/>
    <w:rsid w:val="00AE2542"/>
    <w:rsid w:val="00AE2DA1"/>
    <w:rsid w:val="00AE3D1F"/>
    <w:rsid w:val="00AE3D4A"/>
    <w:rsid w:val="00AF008F"/>
    <w:rsid w:val="00AF2D2C"/>
    <w:rsid w:val="00AF339D"/>
    <w:rsid w:val="00AF5EAB"/>
    <w:rsid w:val="00AF651A"/>
    <w:rsid w:val="00AF67BA"/>
    <w:rsid w:val="00AF7BC2"/>
    <w:rsid w:val="00AF7D97"/>
    <w:rsid w:val="00B00A00"/>
    <w:rsid w:val="00B00C19"/>
    <w:rsid w:val="00B01571"/>
    <w:rsid w:val="00B045E9"/>
    <w:rsid w:val="00B05F11"/>
    <w:rsid w:val="00B06D26"/>
    <w:rsid w:val="00B06FF6"/>
    <w:rsid w:val="00B116BD"/>
    <w:rsid w:val="00B11EF3"/>
    <w:rsid w:val="00B1359C"/>
    <w:rsid w:val="00B14EF1"/>
    <w:rsid w:val="00B15A52"/>
    <w:rsid w:val="00B21E9F"/>
    <w:rsid w:val="00B2568B"/>
    <w:rsid w:val="00B25D91"/>
    <w:rsid w:val="00B30833"/>
    <w:rsid w:val="00B41229"/>
    <w:rsid w:val="00B51D77"/>
    <w:rsid w:val="00B53478"/>
    <w:rsid w:val="00B54302"/>
    <w:rsid w:val="00B55196"/>
    <w:rsid w:val="00B55659"/>
    <w:rsid w:val="00B55DBB"/>
    <w:rsid w:val="00B56B20"/>
    <w:rsid w:val="00B570C2"/>
    <w:rsid w:val="00B5712A"/>
    <w:rsid w:val="00B6138C"/>
    <w:rsid w:val="00B63BCD"/>
    <w:rsid w:val="00B72286"/>
    <w:rsid w:val="00B753A8"/>
    <w:rsid w:val="00B756A0"/>
    <w:rsid w:val="00B76749"/>
    <w:rsid w:val="00B774FA"/>
    <w:rsid w:val="00B77724"/>
    <w:rsid w:val="00B81445"/>
    <w:rsid w:val="00B81A2B"/>
    <w:rsid w:val="00B81FE0"/>
    <w:rsid w:val="00B8488C"/>
    <w:rsid w:val="00B8751C"/>
    <w:rsid w:val="00B90C85"/>
    <w:rsid w:val="00B9350E"/>
    <w:rsid w:val="00B9613D"/>
    <w:rsid w:val="00B96AA2"/>
    <w:rsid w:val="00BA4AE6"/>
    <w:rsid w:val="00BB107A"/>
    <w:rsid w:val="00BB1B66"/>
    <w:rsid w:val="00BB2C9A"/>
    <w:rsid w:val="00BB3087"/>
    <w:rsid w:val="00BB3414"/>
    <w:rsid w:val="00BB5003"/>
    <w:rsid w:val="00BC0EE4"/>
    <w:rsid w:val="00BC1297"/>
    <w:rsid w:val="00BC1569"/>
    <w:rsid w:val="00BC1573"/>
    <w:rsid w:val="00BC1918"/>
    <w:rsid w:val="00BC278F"/>
    <w:rsid w:val="00BC376B"/>
    <w:rsid w:val="00BC4651"/>
    <w:rsid w:val="00BC5834"/>
    <w:rsid w:val="00BC684E"/>
    <w:rsid w:val="00BC6C16"/>
    <w:rsid w:val="00BC797E"/>
    <w:rsid w:val="00BD0705"/>
    <w:rsid w:val="00BD1D1A"/>
    <w:rsid w:val="00BD440D"/>
    <w:rsid w:val="00BD5B86"/>
    <w:rsid w:val="00BD60F7"/>
    <w:rsid w:val="00BD6145"/>
    <w:rsid w:val="00BD73B8"/>
    <w:rsid w:val="00BD7C6E"/>
    <w:rsid w:val="00BD7D61"/>
    <w:rsid w:val="00BE1590"/>
    <w:rsid w:val="00BE209F"/>
    <w:rsid w:val="00BE23F9"/>
    <w:rsid w:val="00BE30F3"/>
    <w:rsid w:val="00BE54A0"/>
    <w:rsid w:val="00BE69D8"/>
    <w:rsid w:val="00BE6A3D"/>
    <w:rsid w:val="00BE6AE3"/>
    <w:rsid w:val="00BF40C2"/>
    <w:rsid w:val="00BF49FE"/>
    <w:rsid w:val="00C01D86"/>
    <w:rsid w:val="00C022E2"/>
    <w:rsid w:val="00C0641C"/>
    <w:rsid w:val="00C10B2A"/>
    <w:rsid w:val="00C113D5"/>
    <w:rsid w:val="00C127A5"/>
    <w:rsid w:val="00C139D7"/>
    <w:rsid w:val="00C15994"/>
    <w:rsid w:val="00C15CCD"/>
    <w:rsid w:val="00C172B6"/>
    <w:rsid w:val="00C2157E"/>
    <w:rsid w:val="00C2451C"/>
    <w:rsid w:val="00C2550B"/>
    <w:rsid w:val="00C26D63"/>
    <w:rsid w:val="00C270C6"/>
    <w:rsid w:val="00C27A33"/>
    <w:rsid w:val="00C27D76"/>
    <w:rsid w:val="00C30A9C"/>
    <w:rsid w:val="00C313CF"/>
    <w:rsid w:val="00C31B96"/>
    <w:rsid w:val="00C36718"/>
    <w:rsid w:val="00C37BB5"/>
    <w:rsid w:val="00C41F8B"/>
    <w:rsid w:val="00C4392E"/>
    <w:rsid w:val="00C43B4C"/>
    <w:rsid w:val="00C443FE"/>
    <w:rsid w:val="00C44851"/>
    <w:rsid w:val="00C45DF3"/>
    <w:rsid w:val="00C47CF4"/>
    <w:rsid w:val="00C50E39"/>
    <w:rsid w:val="00C52106"/>
    <w:rsid w:val="00C52453"/>
    <w:rsid w:val="00C527EB"/>
    <w:rsid w:val="00C52D57"/>
    <w:rsid w:val="00C539AE"/>
    <w:rsid w:val="00C53BCB"/>
    <w:rsid w:val="00C60C20"/>
    <w:rsid w:val="00C628A6"/>
    <w:rsid w:val="00C64CA0"/>
    <w:rsid w:val="00C64D9B"/>
    <w:rsid w:val="00C67B3B"/>
    <w:rsid w:val="00C67BC2"/>
    <w:rsid w:val="00C70FA9"/>
    <w:rsid w:val="00C726BD"/>
    <w:rsid w:val="00C74157"/>
    <w:rsid w:val="00C75699"/>
    <w:rsid w:val="00C80279"/>
    <w:rsid w:val="00C823D2"/>
    <w:rsid w:val="00C847DE"/>
    <w:rsid w:val="00C91B85"/>
    <w:rsid w:val="00C94587"/>
    <w:rsid w:val="00C963FD"/>
    <w:rsid w:val="00C97A6C"/>
    <w:rsid w:val="00C97F3A"/>
    <w:rsid w:val="00CA0B89"/>
    <w:rsid w:val="00CA1E25"/>
    <w:rsid w:val="00CA254A"/>
    <w:rsid w:val="00CA3FC5"/>
    <w:rsid w:val="00CA4A9C"/>
    <w:rsid w:val="00CA5750"/>
    <w:rsid w:val="00CA6AD8"/>
    <w:rsid w:val="00CB105A"/>
    <w:rsid w:val="00CB25A4"/>
    <w:rsid w:val="00CB4C97"/>
    <w:rsid w:val="00CB52D0"/>
    <w:rsid w:val="00CB533C"/>
    <w:rsid w:val="00CB6676"/>
    <w:rsid w:val="00CC032B"/>
    <w:rsid w:val="00CC1B34"/>
    <w:rsid w:val="00CC2C94"/>
    <w:rsid w:val="00CC7A88"/>
    <w:rsid w:val="00CD0B05"/>
    <w:rsid w:val="00CD0B4C"/>
    <w:rsid w:val="00CD10FF"/>
    <w:rsid w:val="00CD19E2"/>
    <w:rsid w:val="00CD1E6B"/>
    <w:rsid w:val="00CD527F"/>
    <w:rsid w:val="00CD5810"/>
    <w:rsid w:val="00CD6746"/>
    <w:rsid w:val="00CD6C70"/>
    <w:rsid w:val="00CE1B17"/>
    <w:rsid w:val="00CE23E8"/>
    <w:rsid w:val="00CE7B0E"/>
    <w:rsid w:val="00CF1ACA"/>
    <w:rsid w:val="00CF7FD5"/>
    <w:rsid w:val="00D0112D"/>
    <w:rsid w:val="00D01C91"/>
    <w:rsid w:val="00D04A29"/>
    <w:rsid w:val="00D04BAE"/>
    <w:rsid w:val="00D04D3F"/>
    <w:rsid w:val="00D05A0A"/>
    <w:rsid w:val="00D06241"/>
    <w:rsid w:val="00D06392"/>
    <w:rsid w:val="00D077DC"/>
    <w:rsid w:val="00D07D63"/>
    <w:rsid w:val="00D12492"/>
    <w:rsid w:val="00D13542"/>
    <w:rsid w:val="00D15499"/>
    <w:rsid w:val="00D2070F"/>
    <w:rsid w:val="00D226EA"/>
    <w:rsid w:val="00D26ECF"/>
    <w:rsid w:val="00D27664"/>
    <w:rsid w:val="00D3274E"/>
    <w:rsid w:val="00D35BF4"/>
    <w:rsid w:val="00D37451"/>
    <w:rsid w:val="00D42355"/>
    <w:rsid w:val="00D43F7B"/>
    <w:rsid w:val="00D46BE1"/>
    <w:rsid w:val="00D54483"/>
    <w:rsid w:val="00D603FC"/>
    <w:rsid w:val="00D64E74"/>
    <w:rsid w:val="00D65080"/>
    <w:rsid w:val="00D6625D"/>
    <w:rsid w:val="00D7108F"/>
    <w:rsid w:val="00D7181A"/>
    <w:rsid w:val="00D71E8D"/>
    <w:rsid w:val="00D73296"/>
    <w:rsid w:val="00D807CE"/>
    <w:rsid w:val="00D81548"/>
    <w:rsid w:val="00D8483A"/>
    <w:rsid w:val="00D874CD"/>
    <w:rsid w:val="00D8783A"/>
    <w:rsid w:val="00D87861"/>
    <w:rsid w:val="00D916A4"/>
    <w:rsid w:val="00D91DCB"/>
    <w:rsid w:val="00D928E0"/>
    <w:rsid w:val="00D963F8"/>
    <w:rsid w:val="00D970B0"/>
    <w:rsid w:val="00DA1381"/>
    <w:rsid w:val="00DA1B39"/>
    <w:rsid w:val="00DA377A"/>
    <w:rsid w:val="00DA3C9C"/>
    <w:rsid w:val="00DB30C3"/>
    <w:rsid w:val="00DB4033"/>
    <w:rsid w:val="00DB58C8"/>
    <w:rsid w:val="00DC31D4"/>
    <w:rsid w:val="00DC3B0F"/>
    <w:rsid w:val="00DC495E"/>
    <w:rsid w:val="00DC5B71"/>
    <w:rsid w:val="00DC6979"/>
    <w:rsid w:val="00DC79DA"/>
    <w:rsid w:val="00DD24F3"/>
    <w:rsid w:val="00DD403E"/>
    <w:rsid w:val="00DD6ECF"/>
    <w:rsid w:val="00DD7AA6"/>
    <w:rsid w:val="00DE1673"/>
    <w:rsid w:val="00DE229B"/>
    <w:rsid w:val="00DE230A"/>
    <w:rsid w:val="00DE35A9"/>
    <w:rsid w:val="00DE4054"/>
    <w:rsid w:val="00DE6BE7"/>
    <w:rsid w:val="00DF0311"/>
    <w:rsid w:val="00DF23A9"/>
    <w:rsid w:val="00DF2BE6"/>
    <w:rsid w:val="00DF47D9"/>
    <w:rsid w:val="00DF4899"/>
    <w:rsid w:val="00DF4C30"/>
    <w:rsid w:val="00DF6BDD"/>
    <w:rsid w:val="00DF76A6"/>
    <w:rsid w:val="00E0099C"/>
    <w:rsid w:val="00E01E59"/>
    <w:rsid w:val="00E031A0"/>
    <w:rsid w:val="00E03591"/>
    <w:rsid w:val="00E043AB"/>
    <w:rsid w:val="00E05DA3"/>
    <w:rsid w:val="00E10E28"/>
    <w:rsid w:val="00E14B65"/>
    <w:rsid w:val="00E1799B"/>
    <w:rsid w:val="00E17BD8"/>
    <w:rsid w:val="00E21D56"/>
    <w:rsid w:val="00E22EB9"/>
    <w:rsid w:val="00E23290"/>
    <w:rsid w:val="00E23A3B"/>
    <w:rsid w:val="00E25688"/>
    <w:rsid w:val="00E259D6"/>
    <w:rsid w:val="00E25DB7"/>
    <w:rsid w:val="00E2631E"/>
    <w:rsid w:val="00E278C2"/>
    <w:rsid w:val="00E30BC6"/>
    <w:rsid w:val="00E31C5D"/>
    <w:rsid w:val="00E334D0"/>
    <w:rsid w:val="00E340F8"/>
    <w:rsid w:val="00E369BD"/>
    <w:rsid w:val="00E37489"/>
    <w:rsid w:val="00E466BF"/>
    <w:rsid w:val="00E46DBC"/>
    <w:rsid w:val="00E54245"/>
    <w:rsid w:val="00E550EF"/>
    <w:rsid w:val="00E55C2E"/>
    <w:rsid w:val="00E56467"/>
    <w:rsid w:val="00E63A82"/>
    <w:rsid w:val="00E63AB2"/>
    <w:rsid w:val="00E65790"/>
    <w:rsid w:val="00E65F4A"/>
    <w:rsid w:val="00E67BB4"/>
    <w:rsid w:val="00E71EE6"/>
    <w:rsid w:val="00E73830"/>
    <w:rsid w:val="00E747F4"/>
    <w:rsid w:val="00E753DE"/>
    <w:rsid w:val="00E75AD7"/>
    <w:rsid w:val="00E81E99"/>
    <w:rsid w:val="00E832C4"/>
    <w:rsid w:val="00E83E95"/>
    <w:rsid w:val="00E84A08"/>
    <w:rsid w:val="00E85283"/>
    <w:rsid w:val="00E85962"/>
    <w:rsid w:val="00E85C25"/>
    <w:rsid w:val="00E91BE1"/>
    <w:rsid w:val="00E931A4"/>
    <w:rsid w:val="00E94522"/>
    <w:rsid w:val="00E94E1E"/>
    <w:rsid w:val="00E957C1"/>
    <w:rsid w:val="00E96551"/>
    <w:rsid w:val="00E97ED3"/>
    <w:rsid w:val="00EA0C0C"/>
    <w:rsid w:val="00EA1882"/>
    <w:rsid w:val="00EA1CDE"/>
    <w:rsid w:val="00EA665F"/>
    <w:rsid w:val="00EA79CF"/>
    <w:rsid w:val="00EA7FE4"/>
    <w:rsid w:val="00EB097C"/>
    <w:rsid w:val="00EB25DB"/>
    <w:rsid w:val="00EB272F"/>
    <w:rsid w:val="00EB2824"/>
    <w:rsid w:val="00EB5D62"/>
    <w:rsid w:val="00EB5E48"/>
    <w:rsid w:val="00EB6C0D"/>
    <w:rsid w:val="00EC054E"/>
    <w:rsid w:val="00EC22C0"/>
    <w:rsid w:val="00EC49F1"/>
    <w:rsid w:val="00EC54BF"/>
    <w:rsid w:val="00EC5BE6"/>
    <w:rsid w:val="00EC5C03"/>
    <w:rsid w:val="00EC5F04"/>
    <w:rsid w:val="00EC5FB2"/>
    <w:rsid w:val="00ED0447"/>
    <w:rsid w:val="00ED21F8"/>
    <w:rsid w:val="00ED5551"/>
    <w:rsid w:val="00ED6E3B"/>
    <w:rsid w:val="00ED7727"/>
    <w:rsid w:val="00EE0444"/>
    <w:rsid w:val="00EE06EB"/>
    <w:rsid w:val="00EE0872"/>
    <w:rsid w:val="00EE5031"/>
    <w:rsid w:val="00EE5246"/>
    <w:rsid w:val="00EF1FAC"/>
    <w:rsid w:val="00EF2848"/>
    <w:rsid w:val="00EF36EB"/>
    <w:rsid w:val="00EF3FDE"/>
    <w:rsid w:val="00EF6DE0"/>
    <w:rsid w:val="00F00714"/>
    <w:rsid w:val="00F02F32"/>
    <w:rsid w:val="00F0325C"/>
    <w:rsid w:val="00F04613"/>
    <w:rsid w:val="00F10C93"/>
    <w:rsid w:val="00F10E73"/>
    <w:rsid w:val="00F10E8D"/>
    <w:rsid w:val="00F13058"/>
    <w:rsid w:val="00F15276"/>
    <w:rsid w:val="00F16BA1"/>
    <w:rsid w:val="00F17625"/>
    <w:rsid w:val="00F1784C"/>
    <w:rsid w:val="00F22253"/>
    <w:rsid w:val="00F2381F"/>
    <w:rsid w:val="00F23826"/>
    <w:rsid w:val="00F2643F"/>
    <w:rsid w:val="00F270E8"/>
    <w:rsid w:val="00F323B3"/>
    <w:rsid w:val="00F32BFB"/>
    <w:rsid w:val="00F33C62"/>
    <w:rsid w:val="00F36501"/>
    <w:rsid w:val="00F3701C"/>
    <w:rsid w:val="00F40E3E"/>
    <w:rsid w:val="00F45A07"/>
    <w:rsid w:val="00F45C03"/>
    <w:rsid w:val="00F46035"/>
    <w:rsid w:val="00F47912"/>
    <w:rsid w:val="00F51510"/>
    <w:rsid w:val="00F516A7"/>
    <w:rsid w:val="00F537DE"/>
    <w:rsid w:val="00F6151D"/>
    <w:rsid w:val="00F62B16"/>
    <w:rsid w:val="00F64738"/>
    <w:rsid w:val="00F66613"/>
    <w:rsid w:val="00F7177C"/>
    <w:rsid w:val="00F7242D"/>
    <w:rsid w:val="00F8038A"/>
    <w:rsid w:val="00F83EA7"/>
    <w:rsid w:val="00F85C8A"/>
    <w:rsid w:val="00F90259"/>
    <w:rsid w:val="00F9096B"/>
    <w:rsid w:val="00F91642"/>
    <w:rsid w:val="00F92F3E"/>
    <w:rsid w:val="00FA00FD"/>
    <w:rsid w:val="00FA0CB9"/>
    <w:rsid w:val="00FB467B"/>
    <w:rsid w:val="00FB7B4C"/>
    <w:rsid w:val="00FB7E1D"/>
    <w:rsid w:val="00FC156D"/>
    <w:rsid w:val="00FC2009"/>
    <w:rsid w:val="00FC56D7"/>
    <w:rsid w:val="00FD0321"/>
    <w:rsid w:val="00FD2EFA"/>
    <w:rsid w:val="00FD34DE"/>
    <w:rsid w:val="00FD5922"/>
    <w:rsid w:val="00FD6526"/>
    <w:rsid w:val="00FD66AD"/>
    <w:rsid w:val="00FD6725"/>
    <w:rsid w:val="00FD6B1F"/>
    <w:rsid w:val="00FD70FE"/>
    <w:rsid w:val="00FD7B2D"/>
    <w:rsid w:val="00FD7B4B"/>
    <w:rsid w:val="00FE1399"/>
    <w:rsid w:val="00FE3E25"/>
    <w:rsid w:val="00FE3FE4"/>
    <w:rsid w:val="00FE47B7"/>
    <w:rsid w:val="00FE6391"/>
    <w:rsid w:val="00FE72CE"/>
    <w:rsid w:val="00FF08AF"/>
    <w:rsid w:val="00FF18BE"/>
    <w:rsid w:val="00FF1C02"/>
    <w:rsid w:val="00FF1C39"/>
    <w:rsid w:val="00FF3209"/>
    <w:rsid w:val="00FF5A4D"/>
    <w:rsid w:val="00FF6489"/>
    <w:rsid w:val="00FF65DB"/>
    <w:rsid w:val="00FF72CA"/>
    <w:rsid w:val="00FF79B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019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06FF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06FF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line="360" w:lineRule="auto"/>
      <w:jc w:val="center"/>
      <w:outlineLvl w:val="6"/>
    </w:pPr>
    <w:rPr>
      <w:rFonts w:asciiTheme="majorBidi" w:eastAsia="SimSun" w:hAnsiTheme="majorBidi" w:cstheme="majorBidi"/>
      <w:b/>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B06FF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06FF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pPr>
      <w:spacing w:after="0" w:line="240" w:lineRule="auto"/>
    </w:pPr>
    <w:rPr>
      <w:rFonts w:ascii="Times New Roman" w:eastAsia="MS Mincho" w:hAnsi="Times New Roman"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nhideWhenUsed/>
    <w:rsid w:val="00DC6979"/>
    <w:pPr>
      <w:spacing w:after="0" w:line="240" w:lineRule="auto"/>
    </w:pPr>
    <w:rPr>
      <w:sz w:val="20"/>
      <w:szCs w:val="20"/>
    </w:rPr>
  </w:style>
  <w:style w:type="character" w:customStyle="1" w:styleId="FootnoteTextChar">
    <w:name w:val="Footnote Text Char"/>
    <w:basedOn w:val="DefaultParagraphFont"/>
    <w:link w:val="FootnoteText"/>
    <w:rsid w:val="00DC6979"/>
    <w:rPr>
      <w:sz w:val="20"/>
      <w:szCs w:val="20"/>
    </w:rPr>
  </w:style>
  <w:style w:type="character" w:styleId="FootnoteReference">
    <w:name w:val="footnote reference"/>
    <w:basedOn w:val="DefaultParagraphFont"/>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line="360" w:lineRule="auto"/>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line="360" w:lineRule="auto"/>
      <w:ind w:left="720" w:hanging="720"/>
    </w:pPr>
    <w:rPr>
      <w:rFonts w:ascii="Times New Roman" w:eastAsia="Times New Roman" w:hAnsi="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paragraph" w:styleId="NoSpacing">
    <w:name w:val="No Spacing"/>
    <w:uiPriority w:val="1"/>
    <w:qFormat/>
    <w:rsid w:val="00CB4C97"/>
    <w:pPr>
      <w:spacing w:after="0" w:line="240" w:lineRule="auto"/>
    </w:pPr>
  </w:style>
  <w:style w:type="character" w:customStyle="1" w:styleId="fontstyle01">
    <w:name w:val="fontstyle01"/>
    <w:basedOn w:val="DefaultParagraphFont"/>
    <w:rsid w:val="00311BAE"/>
    <w:rPr>
      <w:rFonts w:ascii="MyriadPro-SemiCn" w:hAnsi="MyriadPro-SemiCn"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06FF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06FF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line="360" w:lineRule="auto"/>
      <w:jc w:val="center"/>
      <w:outlineLvl w:val="6"/>
    </w:pPr>
    <w:rPr>
      <w:rFonts w:asciiTheme="majorBidi" w:eastAsia="SimSun" w:hAnsiTheme="majorBidi" w:cstheme="majorBidi"/>
      <w:b/>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B06FF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06FF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pPr>
      <w:spacing w:after="0" w:line="240" w:lineRule="auto"/>
    </w:pPr>
    <w:rPr>
      <w:rFonts w:ascii="Times New Roman" w:eastAsia="MS Mincho" w:hAnsi="Times New Roman"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nhideWhenUsed/>
    <w:rsid w:val="00DC6979"/>
    <w:pPr>
      <w:spacing w:after="0" w:line="240" w:lineRule="auto"/>
    </w:pPr>
    <w:rPr>
      <w:sz w:val="20"/>
      <w:szCs w:val="20"/>
    </w:rPr>
  </w:style>
  <w:style w:type="character" w:customStyle="1" w:styleId="FootnoteTextChar">
    <w:name w:val="Footnote Text Char"/>
    <w:basedOn w:val="DefaultParagraphFont"/>
    <w:link w:val="FootnoteText"/>
    <w:rsid w:val="00DC6979"/>
    <w:rPr>
      <w:sz w:val="20"/>
      <w:szCs w:val="20"/>
    </w:rPr>
  </w:style>
  <w:style w:type="character" w:styleId="FootnoteReference">
    <w:name w:val="footnote reference"/>
    <w:basedOn w:val="DefaultParagraphFont"/>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line="360" w:lineRule="auto"/>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line="360" w:lineRule="auto"/>
      <w:ind w:left="720" w:hanging="720"/>
    </w:pPr>
    <w:rPr>
      <w:rFonts w:ascii="Times New Roman" w:eastAsia="Times New Roman" w:hAnsi="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paragraph" w:styleId="NoSpacing">
    <w:name w:val="No Spacing"/>
    <w:uiPriority w:val="1"/>
    <w:qFormat/>
    <w:rsid w:val="00CB4C97"/>
    <w:pPr>
      <w:spacing w:after="0" w:line="240" w:lineRule="auto"/>
    </w:pPr>
  </w:style>
  <w:style w:type="character" w:customStyle="1" w:styleId="fontstyle01">
    <w:name w:val="fontstyle01"/>
    <w:basedOn w:val="DefaultParagraphFont"/>
    <w:rsid w:val="00311BAE"/>
    <w:rPr>
      <w:rFonts w:ascii="MyriadPro-SemiCn" w:hAnsi="MyriadPro-SemiC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75151">
      <w:bodyDiv w:val="1"/>
      <w:marLeft w:val="0"/>
      <w:marRight w:val="0"/>
      <w:marTop w:val="0"/>
      <w:marBottom w:val="0"/>
      <w:divBdr>
        <w:top w:val="none" w:sz="0" w:space="0" w:color="auto"/>
        <w:left w:val="none" w:sz="0" w:space="0" w:color="auto"/>
        <w:bottom w:val="none" w:sz="0" w:space="0" w:color="auto"/>
        <w:right w:val="none" w:sz="0" w:space="0" w:color="auto"/>
      </w:divBdr>
    </w:div>
    <w:div w:id="510294893">
      <w:bodyDiv w:val="1"/>
      <w:marLeft w:val="0"/>
      <w:marRight w:val="0"/>
      <w:marTop w:val="0"/>
      <w:marBottom w:val="0"/>
      <w:divBdr>
        <w:top w:val="none" w:sz="0" w:space="0" w:color="auto"/>
        <w:left w:val="none" w:sz="0" w:space="0" w:color="auto"/>
        <w:bottom w:val="none" w:sz="0" w:space="0" w:color="auto"/>
        <w:right w:val="none" w:sz="0" w:space="0" w:color="auto"/>
      </w:divBdr>
    </w:div>
    <w:div w:id="568463297">
      <w:bodyDiv w:val="1"/>
      <w:marLeft w:val="0"/>
      <w:marRight w:val="0"/>
      <w:marTop w:val="0"/>
      <w:marBottom w:val="0"/>
      <w:divBdr>
        <w:top w:val="none" w:sz="0" w:space="0" w:color="auto"/>
        <w:left w:val="none" w:sz="0" w:space="0" w:color="auto"/>
        <w:bottom w:val="none" w:sz="0" w:space="0" w:color="auto"/>
        <w:right w:val="none" w:sz="0" w:space="0" w:color="auto"/>
      </w:divBdr>
    </w:div>
    <w:div w:id="977152722">
      <w:bodyDiv w:val="1"/>
      <w:marLeft w:val="0"/>
      <w:marRight w:val="0"/>
      <w:marTop w:val="0"/>
      <w:marBottom w:val="0"/>
      <w:divBdr>
        <w:top w:val="none" w:sz="0" w:space="0" w:color="auto"/>
        <w:left w:val="none" w:sz="0" w:space="0" w:color="auto"/>
        <w:bottom w:val="none" w:sz="0" w:space="0" w:color="auto"/>
        <w:right w:val="none" w:sz="0" w:space="0" w:color="auto"/>
      </w:divBdr>
    </w:div>
    <w:div w:id="978415232">
      <w:bodyDiv w:val="1"/>
      <w:marLeft w:val="0"/>
      <w:marRight w:val="0"/>
      <w:marTop w:val="0"/>
      <w:marBottom w:val="0"/>
      <w:divBdr>
        <w:top w:val="none" w:sz="0" w:space="0" w:color="auto"/>
        <w:left w:val="none" w:sz="0" w:space="0" w:color="auto"/>
        <w:bottom w:val="none" w:sz="0" w:space="0" w:color="auto"/>
        <w:right w:val="none" w:sz="0" w:space="0" w:color="auto"/>
      </w:divBdr>
    </w:div>
    <w:div w:id="1210678771">
      <w:bodyDiv w:val="1"/>
      <w:marLeft w:val="0"/>
      <w:marRight w:val="0"/>
      <w:marTop w:val="0"/>
      <w:marBottom w:val="0"/>
      <w:divBdr>
        <w:top w:val="none" w:sz="0" w:space="0" w:color="auto"/>
        <w:left w:val="none" w:sz="0" w:space="0" w:color="auto"/>
        <w:bottom w:val="none" w:sz="0" w:space="0" w:color="auto"/>
        <w:right w:val="none" w:sz="0" w:space="0" w:color="auto"/>
      </w:divBdr>
    </w:div>
    <w:div w:id="1775898619">
      <w:bodyDiv w:val="1"/>
      <w:marLeft w:val="0"/>
      <w:marRight w:val="0"/>
      <w:marTop w:val="0"/>
      <w:marBottom w:val="0"/>
      <w:divBdr>
        <w:top w:val="none" w:sz="0" w:space="0" w:color="auto"/>
        <w:left w:val="none" w:sz="0" w:space="0" w:color="auto"/>
        <w:bottom w:val="none" w:sz="0" w:space="0" w:color="auto"/>
        <w:right w:val="none" w:sz="0" w:space="0" w:color="auto"/>
      </w:divBdr>
      <w:divsChild>
        <w:div w:id="450979418">
          <w:marLeft w:val="547"/>
          <w:marRight w:val="0"/>
          <w:marTop w:val="200"/>
          <w:marBottom w:val="0"/>
          <w:divBdr>
            <w:top w:val="none" w:sz="0" w:space="0" w:color="auto"/>
            <w:left w:val="none" w:sz="0" w:space="0" w:color="auto"/>
            <w:bottom w:val="none" w:sz="0" w:space="0" w:color="auto"/>
            <w:right w:val="none" w:sz="0" w:space="0" w:color="auto"/>
          </w:divBdr>
        </w:div>
        <w:div w:id="522550286">
          <w:marLeft w:val="547"/>
          <w:marRight w:val="0"/>
          <w:marTop w:val="200"/>
          <w:marBottom w:val="0"/>
          <w:divBdr>
            <w:top w:val="none" w:sz="0" w:space="0" w:color="auto"/>
            <w:left w:val="none" w:sz="0" w:space="0" w:color="auto"/>
            <w:bottom w:val="none" w:sz="0" w:space="0" w:color="auto"/>
            <w:right w:val="none" w:sz="0" w:space="0" w:color="auto"/>
          </w:divBdr>
        </w:div>
        <w:div w:id="608971031">
          <w:marLeft w:val="547"/>
          <w:marRight w:val="0"/>
          <w:marTop w:val="200"/>
          <w:marBottom w:val="0"/>
          <w:divBdr>
            <w:top w:val="none" w:sz="0" w:space="0" w:color="auto"/>
            <w:left w:val="none" w:sz="0" w:space="0" w:color="auto"/>
            <w:bottom w:val="none" w:sz="0" w:space="0" w:color="auto"/>
            <w:right w:val="none" w:sz="0" w:space="0" w:color="auto"/>
          </w:divBdr>
        </w:div>
        <w:div w:id="1472483689">
          <w:marLeft w:val="547"/>
          <w:marRight w:val="0"/>
          <w:marTop w:val="200"/>
          <w:marBottom w:val="0"/>
          <w:divBdr>
            <w:top w:val="none" w:sz="0" w:space="0" w:color="auto"/>
            <w:left w:val="none" w:sz="0" w:space="0" w:color="auto"/>
            <w:bottom w:val="none" w:sz="0" w:space="0" w:color="auto"/>
            <w:right w:val="none" w:sz="0" w:space="0" w:color="auto"/>
          </w:divBdr>
        </w:div>
        <w:div w:id="2124618021">
          <w:marLeft w:val="547"/>
          <w:marRight w:val="0"/>
          <w:marTop w:val="200"/>
          <w:marBottom w:val="0"/>
          <w:divBdr>
            <w:top w:val="none" w:sz="0" w:space="0" w:color="auto"/>
            <w:left w:val="none" w:sz="0" w:space="0" w:color="auto"/>
            <w:bottom w:val="none" w:sz="0" w:space="0" w:color="auto"/>
            <w:right w:val="none" w:sz="0" w:space="0" w:color="auto"/>
          </w:divBdr>
        </w:div>
      </w:divsChild>
    </w:div>
    <w:div w:id="2002342004">
      <w:bodyDiv w:val="1"/>
      <w:marLeft w:val="0"/>
      <w:marRight w:val="0"/>
      <w:marTop w:val="0"/>
      <w:marBottom w:val="0"/>
      <w:divBdr>
        <w:top w:val="none" w:sz="0" w:space="0" w:color="auto"/>
        <w:left w:val="none" w:sz="0" w:space="0" w:color="auto"/>
        <w:bottom w:val="none" w:sz="0" w:space="0" w:color="auto"/>
        <w:right w:val="none" w:sz="0" w:space="0" w:color="auto"/>
      </w:divBdr>
      <w:divsChild>
        <w:div w:id="500392405">
          <w:marLeft w:val="547"/>
          <w:marRight w:val="0"/>
          <w:marTop w:val="200"/>
          <w:marBottom w:val="0"/>
          <w:divBdr>
            <w:top w:val="none" w:sz="0" w:space="0" w:color="auto"/>
            <w:left w:val="none" w:sz="0" w:space="0" w:color="auto"/>
            <w:bottom w:val="none" w:sz="0" w:space="0" w:color="auto"/>
            <w:right w:val="none" w:sz="0" w:space="0" w:color="auto"/>
          </w:divBdr>
        </w:div>
        <w:div w:id="543370362">
          <w:marLeft w:val="547"/>
          <w:marRight w:val="0"/>
          <w:marTop w:val="200"/>
          <w:marBottom w:val="0"/>
          <w:divBdr>
            <w:top w:val="none" w:sz="0" w:space="0" w:color="auto"/>
            <w:left w:val="none" w:sz="0" w:space="0" w:color="auto"/>
            <w:bottom w:val="none" w:sz="0" w:space="0" w:color="auto"/>
            <w:right w:val="none" w:sz="0" w:space="0" w:color="auto"/>
          </w:divBdr>
        </w:div>
        <w:div w:id="592935992">
          <w:marLeft w:val="547"/>
          <w:marRight w:val="0"/>
          <w:marTop w:val="200"/>
          <w:marBottom w:val="0"/>
          <w:divBdr>
            <w:top w:val="none" w:sz="0" w:space="0" w:color="auto"/>
            <w:left w:val="none" w:sz="0" w:space="0" w:color="auto"/>
            <w:bottom w:val="none" w:sz="0" w:space="0" w:color="auto"/>
            <w:right w:val="none" w:sz="0" w:space="0" w:color="auto"/>
          </w:divBdr>
        </w:div>
        <w:div w:id="599727061">
          <w:marLeft w:val="547"/>
          <w:marRight w:val="0"/>
          <w:marTop w:val="200"/>
          <w:marBottom w:val="0"/>
          <w:divBdr>
            <w:top w:val="none" w:sz="0" w:space="0" w:color="auto"/>
            <w:left w:val="none" w:sz="0" w:space="0" w:color="auto"/>
            <w:bottom w:val="none" w:sz="0" w:space="0" w:color="auto"/>
            <w:right w:val="none" w:sz="0" w:space="0" w:color="auto"/>
          </w:divBdr>
        </w:div>
        <w:div w:id="916861107">
          <w:marLeft w:val="547"/>
          <w:marRight w:val="0"/>
          <w:marTop w:val="200"/>
          <w:marBottom w:val="0"/>
          <w:divBdr>
            <w:top w:val="none" w:sz="0" w:space="0" w:color="auto"/>
            <w:left w:val="none" w:sz="0" w:space="0" w:color="auto"/>
            <w:bottom w:val="none" w:sz="0" w:space="0" w:color="auto"/>
            <w:right w:val="none" w:sz="0" w:space="0" w:color="auto"/>
          </w:divBdr>
        </w:div>
        <w:div w:id="1514420448">
          <w:marLeft w:val="1267"/>
          <w:marRight w:val="0"/>
          <w:marTop w:val="100"/>
          <w:marBottom w:val="0"/>
          <w:divBdr>
            <w:top w:val="none" w:sz="0" w:space="0" w:color="auto"/>
            <w:left w:val="none" w:sz="0" w:space="0" w:color="auto"/>
            <w:bottom w:val="none" w:sz="0" w:space="0" w:color="auto"/>
            <w:right w:val="none" w:sz="0" w:space="0" w:color="auto"/>
          </w:divBdr>
        </w:div>
        <w:div w:id="1869945652">
          <w:marLeft w:val="1267"/>
          <w:marRight w:val="0"/>
          <w:marTop w:val="100"/>
          <w:marBottom w:val="0"/>
          <w:divBdr>
            <w:top w:val="none" w:sz="0" w:space="0" w:color="auto"/>
            <w:left w:val="none" w:sz="0" w:space="0" w:color="auto"/>
            <w:bottom w:val="none" w:sz="0" w:space="0" w:color="auto"/>
            <w:right w:val="none" w:sz="0" w:space="0" w:color="auto"/>
          </w:divBdr>
        </w:div>
        <w:div w:id="1917397431">
          <w:marLeft w:val="1267"/>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endnotes.xml.rels><?xml version="1.0" encoding="UTF-8" standalone="yes"?>
<Relationships xmlns="http://schemas.openxmlformats.org/package/2006/relationships"><Relationship Id="rId1" Type="http://schemas.openxmlformats.org/officeDocument/2006/relationships/hyperlink" Target="https://apps.who.int/iris/bitstream/handle/10665/259350/WHO-NMH-NVI-17.9-fre.pdf?sequence=1&amp;isAllowed=y"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52A25D77-A0F5-4216-B794-E62E0482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1535</Words>
  <Characters>8752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World Health Organization</Company>
  <LinksUpToDate>false</LinksUpToDate>
  <CharactersWithSpaces>10267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ARCEOM</dc:creator>
  <cp:lastModifiedBy>SealW</cp:lastModifiedBy>
  <cp:revision>3</cp:revision>
  <cp:lastPrinted>2019-07-26T04:42:00Z</cp:lastPrinted>
  <dcterms:created xsi:type="dcterms:W3CDTF">2019-07-26T05:07:00Z</dcterms:created>
  <dcterms:modified xsi:type="dcterms:W3CDTF">2019-07-27T05:05:00Z</dcterms:modified>
</cp:coreProperties>
</file>